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colors6.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charts/style6.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auto"/>
        <w:jc w:val="both"/>
        <w:rPr>
          <w:rFonts w:hint="eastAsia" w:ascii="楷体_GB2312" w:hAnsi="楷体_GB2312" w:eastAsia="楷体_GB2312" w:cs="楷体_GB2312"/>
          <w:color w:val="000000"/>
          <w:sz w:val="40"/>
          <w:szCs w:val="40"/>
        </w:rPr>
      </w:pPr>
      <w:r>
        <w:drawing>
          <wp:anchor distT="0" distB="0" distL="114300" distR="114300" simplePos="0" relativeHeight="251659264" behindDoc="1" locked="0" layoutInCell="1" allowOverlap="1">
            <wp:simplePos x="0" y="0"/>
            <wp:positionH relativeFrom="column">
              <wp:posOffset>-1692910</wp:posOffset>
            </wp:positionH>
            <wp:positionV relativeFrom="paragraph">
              <wp:posOffset>-1319530</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10">
                      <a:lum bright="6000"/>
                    </a:blip>
                    <a:srcRect t="559" b="3637"/>
                    <a:stretch>
                      <a:fillRect/>
                    </a:stretch>
                  </pic:blipFill>
                  <pic:spPr>
                    <a:xfrm>
                      <a:off x="0" y="0"/>
                      <a:ext cx="8646795" cy="11107420"/>
                    </a:xfrm>
                    <a:prstGeom prst="rect">
                      <a:avLst/>
                    </a:prstGeom>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-546735</wp:posOffset>
                </wp:positionH>
                <wp:positionV relativeFrom="paragraph">
                  <wp:posOffset>253365</wp:posOffset>
                </wp:positionV>
                <wp:extent cx="6431280" cy="2862580"/>
                <wp:effectExtent l="0" t="0" r="0" b="0"/>
                <wp:wrapNone/>
                <wp:docPr id="1" name="文本框 1" descr="7b0a2020202022776f7264617274223a20227b5c2269645c223a32353030323136362c5c227469645c223a5c225c227d220a7d0a"/>
                <wp:cNvGraphicFramePr/>
                <a:graphic xmlns:a="http://schemas.openxmlformats.org/drawingml/2006/main">
                  <a:graphicData uri="http://schemas.microsoft.com/office/word/2010/wordprocessingShape">
                    <wps:wsp>
                      <wps:cNvSpPr txBox="1"/>
                      <wps:spPr>
                        <a:xfrm>
                          <a:off x="0" y="0"/>
                          <a:ext cx="6431280" cy="2862580"/>
                        </a:xfrm>
                        <a:prstGeom prst="rect">
                          <a:avLst/>
                        </a:prstGeom>
                        <a:noFill/>
                        <a:ln>
                          <a:noFill/>
                        </a:ln>
                        <a:effectLst/>
                      </wps:spPr>
                      <wps:txbx>
                        <w:txbxContent>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lang w:eastAsia="zh-CN"/>
                                <w14:textFill>
                                  <w14:solidFill>
                                    <w14:schemeClr w14:val="tx1">
                                      <w14:lumMod w14:val="95000"/>
                                      <w14:lumOff w14:val="5000"/>
                                    </w14:schemeClr>
                                  </w14:solidFill>
                                </w14:textFill>
                              </w:rPr>
                              <w:t>单位</w:t>
                            </w: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决算公开文本</w:t>
                            </w:r>
                          </w:p>
                        </w:txbxContent>
                      </wps:txbx>
                      <wps:bodyPr upright="1"/>
                    </wps:wsp>
                  </a:graphicData>
                </a:graphic>
              </wp:anchor>
            </w:drawing>
          </mc:Choice>
          <mc:Fallback>
            <w:pict>
              <v:shape id="_x0000_s1026" o:spid="_x0000_s1026" o:spt="202" alt="7b0a2020202022776f7264617274223a20227b5c2269645c223a32353030323136362c5c227469645c223a5c225c227d220a7d0a" type="#_x0000_t202" style="position:absolute;left:0pt;margin-left:-43.05pt;margin-top:19.95pt;height:225.4pt;width:506.4pt;z-index:251660288;mso-width-relative:page;mso-height-relative:page;" filled="f" stroked="f" coordsize="21600,21600" o:gfxdata="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XbLP3tgAAAAKAQAADwAAAAAA&#10;AAABACAAAAAiAAAAZHJzL2Rvd25yZXYueG1sUEsBAhQAFAAAAAgAh07iQCBW79PaAQAAgAMAAA4A&#10;AAAAAAAAAQAgAAAAJwEAAGRycy9lMm9Eb2MueG1sUEsFBgAAAAAGAAYAWQEAAHMFAAAAAA==&#10;">
                <v:fill on="f" focussize="0,0"/>
                <v:stroke on="f"/>
                <v:imagedata o:title=""/>
                <o:lock v:ext="edit" aspectratio="f"/>
                <v:textbox>
                  <w:txbxContent>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lang w:eastAsia="zh-CN"/>
                          <w14:textFill>
                            <w14:solidFill>
                              <w14:schemeClr w14:val="tx1">
                                <w14:lumMod w14:val="95000"/>
                                <w14:lumOff w14:val="5000"/>
                              </w14:schemeClr>
                            </w14:solidFill>
                          </w14:textFill>
                        </w:rPr>
                        <w:t>单位</w:t>
                      </w: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决算公开文本</w:t>
                      </w:r>
                    </w:p>
                  </w:txbxContent>
                </v:textbox>
              </v:shape>
            </w:pict>
          </mc:Fallback>
        </mc:AlternateContent>
      </w: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pP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石家庄</w:t>
      </w:r>
      <w:r>
        <w:rPr>
          <w:rFonts w:hint="eastAsia" w:ascii="楷体_GB2312" w:hAnsi="楷体_GB2312" w:eastAsia="楷体_GB2312" w:cs="楷体_GB2312"/>
          <w:b/>
          <w:bCs/>
          <w:color w:val="0D0D0D" w:themeColor="text1" w:themeTint="F2"/>
          <w:sz w:val="48"/>
          <w:szCs w:val="56"/>
          <w:lang w:eastAsia="zh-CN"/>
          <w14:textFill>
            <w14:solidFill>
              <w14:schemeClr w14:val="tx1">
                <w14:lumMod w14:val="95000"/>
                <w14:lumOff w14:val="5000"/>
              </w14:schemeClr>
            </w14:solidFill>
          </w14:textFill>
        </w:rPr>
        <w:t>审计</w:t>
      </w: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局</w:t>
      </w: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预算代码：</w:t>
      </w:r>
      <w:r>
        <w:rPr>
          <w:rFonts w:hint="eastAsia" w:ascii="楷体_GB2312" w:hAnsi="楷体_GB2312" w:eastAsia="楷体_GB2312" w:cs="楷体_GB2312"/>
          <w:b/>
          <w:bCs/>
          <w:color w:val="0D0D0D" w:themeColor="text1" w:themeTint="F2"/>
          <w:sz w:val="48"/>
          <w:szCs w:val="56"/>
          <w:lang w:val="en-US" w:eastAsia="zh-CN"/>
          <w14:textFill>
            <w14:solidFill>
              <w14:schemeClr w14:val="tx1">
                <w14:lumMod w14:val="95000"/>
                <w14:lumOff w14:val="5000"/>
              </w14:schemeClr>
            </w14:solidFill>
          </w14:textFill>
        </w:rPr>
        <w:t>319</w:t>
      </w: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p>
    <w:p>
      <w:pPr>
        <w:jc w:val="center"/>
        <w:rPr>
          <w:rFonts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pPr>
      <w:r>
        <w:rPr>
          <w:rFonts w:hint="eastAsia" w:ascii="楷体_GB2312" w:hAnsi="楷体_GB2312" w:eastAsia="楷体_GB2312" w:cs="楷体_GB2312"/>
          <w:b/>
          <w:bCs/>
          <w:color w:val="0D0D0D" w:themeColor="text1" w:themeTint="F2"/>
          <w:sz w:val="48"/>
          <w:szCs w:val="56"/>
          <w14:textFill>
            <w14:solidFill>
              <w14:schemeClr w14:val="tx1">
                <w14:lumMod w14:val="95000"/>
                <w14:lumOff w14:val="5000"/>
              </w14:schemeClr>
            </w14:solidFill>
          </w14:textFill>
        </w:rPr>
        <w:t>二〇二五年九月</w:t>
      </w:r>
    </w:p>
    <w:p>
      <w:pPr>
        <w:spacing w:line="600" w:lineRule="auto"/>
        <w:jc w:val="left"/>
        <w:rPr>
          <w:rFonts w:hint="eastAsia" w:ascii="楷体_GB2312" w:hAnsi="楷体_GB2312" w:eastAsia="楷体_GB2312" w:cs="楷体_GB2312"/>
          <w:color w:val="000000"/>
          <w:sz w:val="40"/>
          <w:szCs w:val="40"/>
        </w:rPr>
      </w:pPr>
    </w:p>
    <w:p>
      <w:pPr>
        <w:spacing w:line="600" w:lineRule="auto"/>
        <w:jc w:val="both"/>
        <w:rPr>
          <w:rFonts w:hint="eastAsia" w:ascii="楷体_GB2312" w:hAnsi="楷体_GB2312" w:eastAsia="楷体_GB2312" w:cs="楷体_GB2312"/>
          <w:color w:val="000000"/>
          <w:sz w:val="40"/>
          <w:szCs w:val="40"/>
        </w:rPr>
        <w:sectPr>
          <w:footerReference r:id="rId3" w:type="default"/>
          <w:pgSz w:w="11906" w:h="16838"/>
          <w:pgMar w:top="2098" w:right="1417" w:bottom="1871" w:left="1417"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spacing w:line="600" w:lineRule="auto"/>
        <w:jc w:val="center"/>
        <w:rPr>
          <w:rFonts w:hint="eastAsia" w:ascii="楷体_GB2312" w:hAnsi="楷体_GB2312" w:eastAsia="楷体_GB2312" w:cs="楷体_GB2312"/>
          <w:color w:val="000000"/>
          <w:sz w:val="40"/>
          <w:szCs w:val="40"/>
        </w:rPr>
      </w:pPr>
    </w:p>
    <w:p>
      <w:pPr>
        <w:rPr>
          <w:rFonts w:hint="eastAsia" w:ascii="黑体" w:hAnsi="黑体" w:eastAsia="黑体" w:cs="黑体"/>
          <w:b/>
          <w:bCs/>
          <w:sz w:val="32"/>
          <w:szCs w:val="36"/>
          <w:highlight w:val="yellow"/>
        </w:rPr>
      </w:pPr>
    </w:p>
    <w:p>
      <w:pPr>
        <w:widowControl/>
        <w:spacing w:before="0" w:beforeLines="0" w:beforeAutospacing="0" w:after="0" w:afterLines="0" w:afterAutospacing="0" w:line="360" w:lineRule="auto"/>
        <w:jc w:val="center"/>
        <w:rPr>
          <w:rFonts w:hint="eastAsia" w:ascii="方正小标宋简体" w:hAnsi="方正小标宋简体" w:eastAsia="方正小标宋简体" w:cs="方正小标宋简体"/>
          <w:b w:val="0"/>
          <w:sz w:val="52"/>
          <w:szCs w:val="52"/>
        </w:rPr>
      </w:pPr>
      <w:r>
        <w:rPr>
          <w:rFonts w:hint="eastAsia" w:ascii="方正小标宋简体" w:hAnsi="方正小标宋简体" w:eastAsia="方正小标宋简体" w:cs="方正小标宋简体"/>
          <w:b w:val="0"/>
          <w:sz w:val="52"/>
          <w:szCs w:val="52"/>
        </w:rPr>
        <w:t>石家庄市审计局</w:t>
      </w:r>
    </w:p>
    <w:p>
      <w:pPr>
        <w:widowControl/>
        <w:spacing w:before="0" w:beforeLines="0" w:beforeAutospacing="0" w:after="0" w:afterLines="0" w:afterAutospacing="0" w:line="360" w:lineRule="auto"/>
        <w:jc w:val="center"/>
        <w:rPr>
          <w:rFonts w:hint="eastAsia" w:ascii="方正小标宋简体" w:hAnsi="方正小标宋简体" w:eastAsia="方正小标宋简体" w:cs="方正小标宋简体"/>
          <w:sz w:val="52"/>
          <w:szCs w:val="52"/>
        </w:rPr>
      </w:pPr>
      <w:r>
        <w:rPr>
          <w:rFonts w:hint="eastAsia" w:ascii="方正小标宋简体" w:hAnsi="方正小标宋简体" w:eastAsia="方正小标宋简体" w:cs="方正小标宋简体"/>
          <w:b w:val="0"/>
          <w:sz w:val="52"/>
          <w:szCs w:val="52"/>
        </w:rPr>
        <w:t>2024年度</w:t>
      </w:r>
      <w:r>
        <w:rPr>
          <w:rFonts w:hint="eastAsia" w:ascii="方正小标宋简体" w:hAnsi="方正小标宋简体" w:eastAsia="方正小标宋简体" w:cs="方正小标宋简体"/>
          <w:b w:val="0"/>
          <w:sz w:val="52"/>
          <w:szCs w:val="52"/>
          <w:lang w:eastAsia="zh-CN"/>
        </w:rPr>
        <w:t>单位</w:t>
      </w:r>
      <w:r>
        <w:rPr>
          <w:rFonts w:hint="eastAsia" w:ascii="方正小标宋简体" w:hAnsi="方正小标宋简体" w:eastAsia="方正小标宋简体" w:cs="方正小标宋简体"/>
          <w:b w:val="0"/>
          <w:sz w:val="52"/>
          <w:szCs w:val="52"/>
        </w:rPr>
        <w:t>决算公开文本</w:t>
      </w:r>
    </w:p>
    <w:p>
      <w:pPr>
        <w:spacing w:line="36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600" w:lineRule="auto"/>
        <w:jc w:val="center"/>
        <w:rPr>
          <w:rFonts w:ascii="黑体" w:hAnsi="黑体" w:eastAsia="黑体" w:cs="黑体"/>
          <w:sz w:val="56"/>
          <w:szCs w:val="72"/>
        </w:rPr>
      </w:pPr>
    </w:p>
    <w:p>
      <w:pPr>
        <w:spacing w:line="480" w:lineRule="auto"/>
        <w:jc w:val="both"/>
        <w:rPr>
          <w:rFonts w:ascii="黑体" w:hAnsi="黑体" w:eastAsia="黑体" w:cs="黑体"/>
          <w:sz w:val="56"/>
          <w:szCs w:val="72"/>
        </w:rPr>
      </w:pPr>
    </w:p>
    <w:p>
      <w:pPr>
        <w:widowControl/>
        <w:spacing w:before="0" w:beforeLines="0" w:beforeAutospacing="0" w:after="0" w:afterLines="0" w:afterAutospacing="0" w:line="360" w:lineRule="auto"/>
        <w:jc w:val="center"/>
        <w:rPr>
          <w:rFonts w:hint="eastAsia" w:ascii="Times New Roman" w:eastAsia="楷体_GB2312"/>
          <w:b w:val="0"/>
          <w:sz w:val="44"/>
          <w:szCs w:val="44"/>
          <w:lang w:eastAsia="zh-CN"/>
        </w:rPr>
      </w:pPr>
      <w:r>
        <w:rPr>
          <w:rFonts w:ascii="Times New Roman" w:eastAsia="楷体_GB2312"/>
          <w:b w:val="0"/>
          <w:sz w:val="44"/>
          <w:szCs w:val="44"/>
        </w:rPr>
        <w:t>石家庄市审计局</w:t>
      </w:r>
      <w:r>
        <w:rPr>
          <w:rFonts w:hint="eastAsia" w:ascii="Times New Roman" w:eastAsia="楷体_GB2312"/>
          <w:b w:val="0"/>
          <w:sz w:val="44"/>
          <w:szCs w:val="44"/>
          <w:lang w:eastAsia="zh-CN"/>
        </w:rPr>
        <w:t>本级</w:t>
      </w:r>
    </w:p>
    <w:p>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(单位名称，加盖公章）</w:t>
      </w:r>
    </w:p>
    <w:p>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二〇二五年八月</w:t>
      </w:r>
    </w:p>
    <w:p>
      <w:pPr>
        <w:snapToGrid w:val="0"/>
        <w:jc w:val="left"/>
        <w:rPr>
          <w:rFonts w:hint="eastAsia"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pPr>
        <w:snapToGrid w:val="0"/>
        <w:jc w:val="left"/>
        <w:rPr>
          <w:rFonts w:hint="default"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pgSz w:w="11906" w:h="16838"/>
          <w:pgMar w:top="1531" w:right="1984" w:bottom="1531" w:left="2098" w:header="851" w:footer="992" w:gutter="0"/>
          <w:pgBorders>
            <w:top w:val="none" w:color="auto" w:sz="0" w:space="0"/>
            <w:left w:val="none" w:color="auto" w:sz="0" w:space="0"/>
            <w:bottom w:val="none" w:color="auto" w:sz="0" w:space="0"/>
            <w:right w:val="none" w:color="auto" w:sz="0" w:space="0"/>
          </w:pgBorders>
          <w:cols w:space="720" w:num="1"/>
          <w:docGrid w:type="lines" w:linePitch="312" w:charSpace="0"/>
        </w:sectPr>
      </w:pPr>
    </w:p>
    <w:p>
      <w:pPr>
        <w:widowControl/>
        <w:spacing w:line="600" w:lineRule="exact"/>
        <w:jc w:val="left"/>
        <w:rPr>
          <w:rFonts w:ascii="黑体" w:hAnsi="黑体" w:eastAsia="黑体" w:cs="黑体"/>
          <w:bCs/>
          <w:sz w:val="32"/>
          <w:szCs w:val="32"/>
        </w:rPr>
      </w:pPr>
    </w:p>
    <w:p>
      <w:pPr>
        <w:tabs>
          <w:tab w:val="left" w:pos="2728"/>
        </w:tabs>
        <w:jc w:val="center"/>
        <w:rPr>
          <w:rFonts w:ascii="黑体" w:hAnsi="Times New Roman" w:eastAsia="黑体" w:cs="Times New Roman"/>
          <w:sz w:val="48"/>
          <w:szCs w:val="48"/>
        </w:r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目录</w:t>
      </w:r>
    </w:p>
    <w:p>
      <w:pPr>
        <w:widowControl/>
        <w:spacing w:after="160" w:line="580" w:lineRule="exact"/>
        <w:ind w:firstLine="640" w:firstLineChars="200"/>
        <w:rPr>
          <w:rFonts w:ascii="Times New Roman" w:hAnsi="Times New Roman" w:eastAsia="黑体" w:cs="Times New Roman"/>
          <w:sz w:val="32"/>
          <w:szCs w:val="32"/>
        </w:rPr>
      </w:pP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第一部分单位概况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一、单位职责</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二、机构设置</w:t>
      </w:r>
    </w:p>
    <w:p>
      <w:pPr>
        <w:widowControl/>
        <w:spacing w:before="0" w:beforeLines="0" w:beforeAutospacing="0" w:after="0" w:afterLines="0" w:afterAutospacing="0" w:line="360" w:lineRule="auto"/>
        <w:jc w:val="left"/>
        <w:outlineLvl w:val="0"/>
        <w:rPr>
          <w:rFonts w:ascii="Times New Roman" w:eastAsia="黑体"/>
          <w:sz w:val="32"/>
          <w:szCs w:val="32"/>
        </w:rPr>
      </w:pPr>
      <w:r>
        <w:rPr>
          <w:rFonts w:ascii="Times New Roman" w:eastAsia="黑体"/>
          <w:b w:val="0"/>
          <w:sz w:val="32"/>
          <w:szCs w:val="32"/>
        </w:rPr>
        <w:t>第二部分2024年度</w:t>
      </w:r>
      <w:r>
        <w:rPr>
          <w:rFonts w:hint="eastAsia" w:ascii="Times New Roman" w:eastAsia="黑体"/>
          <w:b w:val="0"/>
          <w:sz w:val="32"/>
          <w:szCs w:val="32"/>
          <w:lang w:eastAsia="zh-CN"/>
        </w:rPr>
        <w:t>单位</w:t>
      </w:r>
      <w:r>
        <w:rPr>
          <w:rFonts w:ascii="Times New Roman" w:eastAsia="黑体"/>
          <w:b w:val="0"/>
          <w:sz w:val="32"/>
          <w:szCs w:val="32"/>
        </w:rPr>
        <w:t>决算报表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一、收入支出决算总表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二、收入决算表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三、支出决算表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四、财政拨款收入支出决算总表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五、一般公共预算财政拨款支出决算表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六、一般公共预算财政拨款基本支出决算明细表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七、政府性基金预算财政拨款收入支出决算表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八、国有资本经营预算财政拨款支出决算表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九、财政拨款“三公”经费支出决算表</w:t>
      </w: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第三部分2024年度</w:t>
      </w:r>
      <w:r>
        <w:rPr>
          <w:rFonts w:hint="eastAsia" w:ascii="Times New Roman" w:eastAsia="黑体"/>
          <w:b w:val="0"/>
          <w:sz w:val="32"/>
          <w:szCs w:val="32"/>
          <w:lang w:eastAsia="zh-CN"/>
        </w:rPr>
        <w:t>单位</w:t>
      </w:r>
      <w:r>
        <w:rPr>
          <w:rFonts w:ascii="Times New Roman" w:eastAsia="黑体"/>
          <w:b w:val="0"/>
          <w:sz w:val="32"/>
          <w:szCs w:val="32"/>
        </w:rPr>
        <w:t>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一、收入支出决算总体情况说明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二、收入决算情况说明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三、支出决算情况说明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四、财政拨款收入支出决算总体情况说明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五、财政拨款“三公”经费支出决算情况说明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六、机关运行经费支出说明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七、政府采购支出说明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八、国有资产占用情况说明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九、关于2024年度绩效评价情况的说明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十、其他需要说明的情况</w:t>
      </w:r>
    </w:p>
    <w:p>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第四部分名词解释</w:t>
      </w:r>
    </w:p>
    <w:p>
      <w:pPr>
        <w:widowControl/>
        <w:spacing w:after="160" w:line="580" w:lineRule="exact"/>
        <w:rPr>
          <w:rFonts w:hint="eastAsia" w:ascii="Times New Roman" w:hAnsi="Times New Roman" w:eastAsia="黑体" w:cs="Times New Roman"/>
          <w:sz w:val="32"/>
          <w:szCs w:val="32"/>
          <w:lang w:val="en-US" w:eastAsia="zh-CN"/>
        </w:rPr>
        <w:sectPr>
          <w:headerReference r:id="rId5" w:type="first"/>
          <w:footerReference r:id="rId7" w:type="first"/>
          <w:headerReference r:id="rId4" w:type="default"/>
          <w:footerReference r:id="rId6" w:type="default"/>
          <w:pgSz w:w="11906" w:h="16838"/>
          <w:pgMar w:top="1474" w:right="1531" w:bottom="1474" w:left="1531" w:header="851" w:footer="992" w:gutter="0"/>
          <w:pgBorders>
            <w:top w:val="none" w:color="auto" w:sz="0" w:space="0"/>
            <w:left w:val="none" w:color="auto" w:sz="0" w:space="0"/>
            <w:bottom w:val="none" w:color="auto" w:sz="0" w:space="0"/>
            <w:right w:val="none" w:color="auto" w:sz="0" w:space="0"/>
          </w:pgBorders>
          <w:cols w:space="0" w:num="1"/>
          <w:titlePg/>
          <w:docGrid w:type="lines" w:linePitch="312" w:charSpace="0"/>
        </w:sectPr>
      </w:pP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第一部分单位概况</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一、单位职责</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一）主管全市审计工作。负责对全市财政收支和依法属于审计监督范围的财务收支的真实、合法和效益进行审计监督，对公共资金、国有资产、国有资源和领导干部履行经济责任情况实行审计全覆盖，对领导干部实行自然资源资产离任审计，对省、市党委、政府有关重大政策措施贯彻落实情况进行跟踪审计。对审计、专项审计调查和核查社会审计机构相关审计报告的结果承担责任，并负有督促被审计单位整改的责任。</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二）贯彻执行审计法律、法规和方针、政策。组织起草审计地方性法规、政府规章草案；拟订审计工作发展规划、专业领域审计工作规划，以及年度审计计划并组织实施，对直接审计、调查和核查的事项依法进行审计评价，作出审计决定或提出审计建议。</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三）向中共石家庄市委审计委员会提出年度市本级预算执行和其他财政收支情况审计报告。向市长提出年度市本级预算执行和其他财政收支情况的审计结果报告。组织起草市政府向市人大常委会提出市本级预算执行和其他财政收支情况的审计工作报告、审计查出问题整改情况报告。向市委、市政府报告对其他事项的审计和专项审计调查情况及结果。依法向社会公布审计结果。向被审计单位通报审计情况和审计结果。</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（四）直接审计下列事项，出具审计报告，在法定职权范围内作出审计决定，包括国家和省、市有关重大政策措施贯彻落实情况；市本级预算执行情况和其他财政收支，市直各</w:t>
      </w:r>
      <w:r>
        <w:rPr>
          <w:rFonts w:hint="eastAsia" w:ascii="Times New Roman" w:eastAsia="仿宋_GB2312"/>
          <w:sz w:val="32"/>
          <w:szCs w:val="32"/>
          <w:lang w:eastAsia="zh-CN"/>
        </w:rPr>
        <w:t>单位</w:t>
      </w:r>
      <w:r>
        <w:rPr>
          <w:rFonts w:hint="eastAsia" w:ascii="Times New Roman" w:eastAsia="仿宋_GB2312"/>
          <w:sz w:val="32"/>
          <w:szCs w:val="32"/>
        </w:rPr>
        <w:t>（含所属单位）预算执行情况、决算草案和其他财政收支；县（市、区）政府预算执行情况、决算草案和其他财政收支；中央、省和市财政转移支付资金；使用市本级财政资金的事业单位和社会团体的财务收支；市投资和以市投资为主的建设项目的预算执行情况和决算，市重大公共工程项目的资金管理使用和建设运营情况；自然资源管理、污染防治和生态保护与修复情况；市属国有企业、市属国有资本占控股或主导地位的企业，上级授权审计的金融机构的境内外资产、负债和损益，市驻外非经营性机构的财务收支；有关社会保障基金、社会捐赠资金和其他基金、资金的财务收支；上级授权审计的国际组织和外国政府援助、贷款项目的财务收支；法律法规规定的其他事项。</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（五）按规定对市管党政主要领导干部及其他单位主要负责人实施经济责任审计和自然资源资产离任审计。</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640" w:firstLineChars="200"/>
        <w:jc w:val="left"/>
        <w:textAlignment w:val="auto"/>
        <w:outlineLvl w:val="9"/>
        <w:rPr>
          <w:rFonts w:hint="eastAsia" w:ascii="Times New Roman" w:eastAsia="仿宋_GB2312"/>
          <w:sz w:val="32"/>
          <w:szCs w:val="32"/>
        </w:rPr>
      </w:pPr>
      <w:r>
        <w:rPr>
          <w:rFonts w:hint="eastAsia" w:ascii="Times New Roman" w:eastAsia="仿宋_GB2312"/>
          <w:sz w:val="32"/>
          <w:szCs w:val="32"/>
        </w:rPr>
        <w:t>（六）组织实施对财经法律法规、规章、政策和宏观调控措施执行情况、财政预算管理及国有资产管理使用等与财政收支有关的特定事项进行专项审计调查</w:t>
      </w:r>
      <w:r>
        <w:rPr>
          <w:rFonts w:hint="eastAsia" w:ascii="Times New Roman" w:eastAsia="仿宋_GB2312"/>
          <w:sz w:val="32"/>
          <w:szCs w:val="32"/>
          <w:lang w:eastAsia="zh-CN"/>
        </w:rPr>
        <w:t>。</w:t>
      </w:r>
    </w:p>
    <w:p>
      <w:pPr>
        <w:keepNext w:val="0"/>
        <w:keepLines w:val="0"/>
        <w:pageBreakBefore w:val="0"/>
        <w:widowControl/>
        <w:kinsoku/>
        <w:wordWrap/>
        <w:overflowPunct/>
        <w:topLinePunct w:val="0"/>
        <w:autoSpaceDE/>
        <w:autoSpaceDN/>
        <w:bidi w:val="0"/>
        <w:adjustRightInd/>
        <w:snapToGrid/>
        <w:spacing w:beforeAutospacing="0" w:afterAutospacing="0" w:line="360" w:lineRule="auto"/>
        <w:ind w:left="0" w:leftChars="0" w:right="0" w:rightChars="0" w:firstLine="640" w:firstLineChars="200"/>
        <w:jc w:val="left"/>
        <w:textAlignment w:val="auto"/>
        <w:outlineLvl w:val="9"/>
        <w:rPr>
          <w:rFonts w:hint="eastAsia" w:ascii="Times New Roman" w:eastAsia="仿宋_GB2312"/>
          <w:sz w:val="32"/>
          <w:szCs w:val="32"/>
        </w:rPr>
      </w:pPr>
      <w:r>
        <w:rPr>
          <w:rFonts w:hint="eastAsia" w:ascii="Times New Roman" w:eastAsia="仿宋_GB2312"/>
          <w:sz w:val="32"/>
          <w:szCs w:val="32"/>
        </w:rPr>
        <w:t>（七）依法检查审计决定执行情况，督促整改审计查出的问题，依法办理被审计单位对审计决定提请行政复议、行政诉讼或市政府裁决中的有关事项；协助配合有关</w:t>
      </w:r>
      <w:r>
        <w:rPr>
          <w:rFonts w:hint="eastAsia" w:ascii="Times New Roman" w:eastAsia="仿宋_GB2312"/>
          <w:sz w:val="32"/>
          <w:szCs w:val="32"/>
          <w:lang w:eastAsia="zh-CN"/>
        </w:rPr>
        <w:t>单位</w:t>
      </w:r>
      <w:r>
        <w:rPr>
          <w:rFonts w:hint="eastAsia" w:ascii="Times New Roman" w:eastAsia="仿宋_GB2312"/>
          <w:sz w:val="32"/>
          <w:szCs w:val="32"/>
        </w:rPr>
        <w:t>查处相关重大案件。</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（八）指导和监督内部审计工作，核查社会审计机构对依法属于审计监督对象的单位出具的相关审计告。</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九）与县（市、区）党委、政府共同领导县（市、区）审计机关。依法领导和监督县（市、区）审计机关的业务，组织县（市、区）审计机关实施特定项目的专项审计或审计调查，纠正或责成纠正县（市、区）审计机关违反国家规定作出的审计决定。按照干部管理权限协助管理县（市、区）审计机关负责人。</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（十）会同市委机构编制委员会办公室，对党政机关及直属事业单位的机构设置、编制使用，以及有关机构编制规定的执行情况进行审计调查。</w:t>
      </w:r>
    </w:p>
    <w:p>
      <w:pPr>
        <w:widowControl/>
        <w:spacing w:before="0" w:beforeLines="0" w:beforeAutospacing="0" w:after="0" w:afterLines="0" w:afterAutospacing="0" w:line="360" w:lineRule="auto"/>
        <w:ind w:firstLine="200" w:firstLineChars="200"/>
        <w:jc w:val="left"/>
        <w:rPr>
          <w:rFonts w:hint="eastAsia" w:ascii="Times New Roman" w:eastAsia="仿宋_GB2312"/>
          <w:sz w:val="32"/>
          <w:szCs w:val="32"/>
        </w:rPr>
      </w:pPr>
      <w:r>
        <w:rPr>
          <w:rFonts w:hint="eastAsia" w:ascii="Times New Roman" w:eastAsia="仿宋_GB2312"/>
          <w:sz w:val="32"/>
          <w:szCs w:val="32"/>
        </w:rPr>
        <w:t>（十一）组织开展审计领域的交流与合作，负责审计信息系统建设，指导和推广信息技术在审计领域的应用。</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hint="eastAsia" w:ascii="Times New Roman" w:eastAsia="仿宋_GB2312"/>
          <w:sz w:val="32"/>
          <w:szCs w:val="32"/>
        </w:rPr>
        <w:t>（十二）完成市委、市政府和上级审计机关交办的其他任务。</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二、机构设置</w:t>
      </w:r>
    </w:p>
    <w:p>
      <w:pPr>
        <w:widowControl/>
        <w:spacing w:before="0" w:beforeLines="0" w:beforeAutospacing="0" w:after="0" w:afterLines="0" w:afterAutospacing="0" w:line="360" w:lineRule="auto"/>
        <w:ind w:firstLine="200" w:firstLineChars="200"/>
        <w:jc w:val="left"/>
        <w:rPr>
          <w:rFonts w:ascii="Times New Roman" w:eastAsia="仿宋_GB2312"/>
          <w:b w:val="0"/>
          <w:sz w:val="32"/>
          <w:szCs w:val="32"/>
        </w:rPr>
      </w:pPr>
      <w:r>
        <w:rPr>
          <w:rFonts w:ascii="Times New Roman" w:eastAsia="仿宋_GB2312"/>
          <w:b w:val="0"/>
          <w:sz w:val="32"/>
          <w:szCs w:val="32"/>
        </w:rPr>
        <w:t>从决算编报单位构成看，纳入2024年度本</w:t>
      </w:r>
      <w:r>
        <w:rPr>
          <w:rFonts w:hint="eastAsia" w:ascii="Times New Roman" w:eastAsia="仿宋_GB2312"/>
          <w:b w:val="0"/>
          <w:sz w:val="32"/>
          <w:szCs w:val="32"/>
          <w:lang w:eastAsia="zh-CN"/>
        </w:rPr>
        <w:t>单位</w:t>
      </w:r>
      <w:r>
        <w:rPr>
          <w:rFonts w:ascii="Times New Roman" w:eastAsia="仿宋_GB2312"/>
          <w:b w:val="0"/>
          <w:sz w:val="32"/>
          <w:szCs w:val="32"/>
        </w:rPr>
        <w:t>决算汇编范围的独立核算单位（以下简称“单位”）共个，具体情况如下：</w:t>
      </w:r>
    </w:p>
    <w:tbl>
      <w:tblPr>
        <w:tblStyle w:val="16"/>
        <w:tblpPr w:leftFromText="180" w:rightFromText="180" w:vertAnchor="text" w:horzAnchor="page" w:tblpX="1210" w:tblpY="206"/>
        <w:tblOverlap w:val="never"/>
        <w:tblW w:w="95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1" w:hRule="atLeast"/>
          <w:jc w:val="center"/>
        </w:trPr>
        <w:tc>
          <w:tcPr>
            <w:tcW w:w="9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48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44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665" w:type="dxa"/>
            <w:vAlign w:val="center"/>
          </w:tcPr>
          <w:p>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jc w:val="center"/>
        </w:trPr>
        <w:tc>
          <w:tcPr>
            <w:tcW w:w="9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1</w:t>
            </w:r>
          </w:p>
        </w:tc>
        <w:tc>
          <w:tcPr>
            <w:tcW w:w="348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石家庄市审计局本级</w:t>
            </w:r>
          </w:p>
        </w:tc>
        <w:tc>
          <w:tcPr>
            <w:tcW w:w="2445" w:type="dxa"/>
          </w:tcPr>
          <w:p>
            <w:pPr>
              <w:spacing w:line="560" w:lineRule="exact"/>
              <w:jc w:val="center"/>
              <w:rPr>
                <w:rFonts w:ascii="仿宋_GB2312" w:hAnsi="Calibri" w:eastAsia="仿宋_GB2312" w:cs="ArialUnicodeMS"/>
                <w:kern w:val="0"/>
                <w:sz w:val="28"/>
                <w:szCs w:val="28"/>
              </w:rPr>
            </w:pPr>
            <w:r>
              <w:rPr>
                <w:rFonts w:ascii="仿宋_GB2312" w:hAnsi="Calibri" w:eastAsia="仿宋_GB2312" w:cs="ArialUnicodeMS"/>
                <w:kern w:val="0"/>
                <w:sz w:val="28"/>
                <w:szCs w:val="28"/>
              </w:rPr>
              <w:t>行政单位</w:t>
            </w:r>
          </w:p>
        </w:tc>
        <w:tc>
          <w:tcPr>
            <w:tcW w:w="2665" w:type="dxa"/>
          </w:tcPr>
          <w:p>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财政拨款</w:t>
            </w:r>
          </w:p>
        </w:tc>
      </w:tr>
    </w:tbl>
    <w:p>
      <w:pPr>
        <w:widowControl/>
        <w:spacing w:before="0" w:beforeLines="0" w:beforeAutospacing="0" w:after="0" w:afterLines="0" w:afterAutospacing="0" w:line="360" w:lineRule="auto"/>
        <w:ind w:firstLine="200" w:firstLineChars="200"/>
        <w:jc w:val="left"/>
        <w:rPr>
          <w:rFonts w:hint="eastAsia" w:ascii="Times New Roman" w:eastAsia="仿宋_GB2312"/>
          <w:b w:val="0"/>
          <w:sz w:val="32"/>
          <w:szCs w:val="32"/>
          <w:lang w:eastAsia="zh-CN"/>
        </w:rPr>
      </w:pPr>
      <w:r>
        <w:rPr>
          <w:rFonts w:hint="eastAsia" w:ascii="Times New Roman" w:eastAsia="仿宋_GB2312"/>
          <w:b w:val="0"/>
          <w:sz w:val="32"/>
          <w:szCs w:val="32"/>
          <w:lang w:eastAsia="zh-CN"/>
        </w:rPr>
        <w:t>注：我单位无独立核算二级预算单位，因此石家庄市审计局</w:t>
      </w:r>
      <w:r>
        <w:rPr>
          <w:rFonts w:hint="eastAsia" w:ascii="Times New Roman" w:eastAsia="仿宋_GB2312"/>
          <w:b w:val="0"/>
          <w:sz w:val="32"/>
          <w:szCs w:val="32"/>
          <w:lang w:val="en-US" w:eastAsia="zh-CN"/>
        </w:rPr>
        <w:t>2024年度单位决算即石家庄市审计局（本级）2024年度决算。</w:t>
      </w:r>
    </w:p>
    <w:p>
      <w:pPr>
        <w:rPr>
          <w:rFonts w:hint="eastAsia" w:ascii="Times New Roman" w:hAnsi="Times New Roman" w:eastAsia="黑体" w:cs="Times New Roman"/>
          <w:sz w:val="32"/>
          <w:szCs w:val="32"/>
          <w:highlight w:val="yellow"/>
        </w:rPr>
      </w:pPr>
      <w:r>
        <w:rPr>
          <w:rFonts w:hint="eastAsia" w:ascii="Times New Roman" w:hAnsi="Times New Roman" w:eastAsia="黑体" w:cs="Times New Roman"/>
          <w:sz w:val="32"/>
          <w:szCs w:val="32"/>
          <w:highlight w:val="yellow"/>
        </w:rPr>
        <w:br w:type="page"/>
      </w: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第二部分</w:t>
      </w:r>
      <w:r>
        <w:rPr>
          <w:rFonts w:ascii="Times New Roman" w:eastAsia="仿宋_GB2312"/>
          <w:b w:val="0"/>
          <w:sz w:val="44"/>
          <w:szCs w:val="44"/>
        </w:rPr>
        <w:t>2024</w:t>
      </w:r>
      <w:r>
        <w:rPr>
          <w:rFonts w:ascii="Times New Roman" w:eastAsia="黑体"/>
          <w:b w:val="0"/>
          <w:sz w:val="44"/>
          <w:szCs w:val="44"/>
        </w:rPr>
        <w:t>年度</w:t>
      </w:r>
      <w:r>
        <w:rPr>
          <w:rFonts w:hint="eastAsia" w:ascii="Times New Roman" w:eastAsia="黑体"/>
          <w:b w:val="0"/>
          <w:sz w:val="44"/>
          <w:szCs w:val="44"/>
          <w:lang w:eastAsia="zh-CN"/>
        </w:rPr>
        <w:t>单位</w:t>
      </w:r>
      <w:r>
        <w:rPr>
          <w:rFonts w:ascii="Times New Roman" w:eastAsia="黑体"/>
          <w:b w:val="0"/>
          <w:sz w:val="44"/>
          <w:szCs w:val="44"/>
        </w:rPr>
        <w:t>决算表</w:t>
      </w:r>
    </w:p>
    <w:tbl>
      <w:tblPr>
        <w:tblStyle w:val="16"/>
        <w:tblpPr w:leftFromText="180" w:rightFromText="180" w:vertAnchor="text" w:horzAnchor="page" w:tblpX="382" w:tblpY="809"/>
        <w:tblOverlap w:val="never"/>
        <w:tblW w:w="1165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46"/>
        <w:gridCol w:w="624"/>
        <w:gridCol w:w="611"/>
        <w:gridCol w:w="1317"/>
        <w:gridCol w:w="1628"/>
        <w:gridCol w:w="1547"/>
        <w:gridCol w:w="624"/>
        <w:gridCol w:w="1928"/>
        <w:gridCol w:w="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61" w:hRule="atLeast"/>
        </w:trPr>
        <w:tc>
          <w:tcPr>
            <w:tcW w:w="11625" w:type="dxa"/>
            <w:gridSpan w:val="8"/>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57" w:hRule="atLeast"/>
        </w:trPr>
        <w:tc>
          <w:tcPr>
            <w:tcW w:w="11625" w:type="dxa"/>
            <w:gridSpan w:val="8"/>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公开</w:t>
            </w:r>
            <w:r>
              <w:rPr>
                <w:rFonts w:hint="eastAsia" w:ascii="Times New Roman" w:hAnsi="Times New Roman" w:eastAsia="宋体" w:cs="Times New Roman"/>
                <w:i w:val="0"/>
                <w:iCs w:val="0"/>
                <w:color w:val="000000"/>
                <w:sz w:val="20"/>
                <w:szCs w:val="20"/>
                <w:highlight w:val="none"/>
                <w:u w:val="none"/>
                <w:lang w:val="en-US" w:eastAsia="zh-CN"/>
              </w:rPr>
              <w:t>01</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51" w:hRule="atLeast"/>
        </w:trPr>
        <w:tc>
          <w:tcPr>
            <w:tcW w:w="4581" w:type="dxa"/>
            <w:gridSpan w:val="3"/>
            <w:tcBorders>
              <w:top w:val="nil"/>
              <w:left w:val="nil"/>
              <w:bottom w:val="single" w:color="auto" w:sz="4" w:space="0"/>
              <w:right w:val="nil"/>
            </w:tcBorders>
            <w:vAlign w:val="bottom"/>
          </w:tcPr>
          <w:p>
            <w:pPr>
              <w:jc w:val="both"/>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单位：石家庄市审计局(本级)</w:t>
            </w:r>
          </w:p>
        </w:tc>
        <w:tc>
          <w:tcPr>
            <w:tcW w:w="2945" w:type="dxa"/>
            <w:gridSpan w:val="2"/>
            <w:tcBorders>
              <w:top w:val="nil"/>
              <w:left w:val="nil"/>
              <w:bottom w:val="single" w:color="auto" w:sz="4" w:space="0"/>
              <w:right w:val="nil"/>
            </w:tcBorders>
            <w:vAlign w:val="bottom"/>
          </w:tcPr>
          <w:p>
            <w:pPr>
              <w:jc w:val="center"/>
              <w:rPr>
                <w:rFonts w:hint="default" w:ascii="宋体" w:hAnsi="宋体" w:eastAsia="宋体" w:cs="宋体"/>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sz w:val="20"/>
                <w:szCs w:val="20"/>
                <w:highlight w:val="none"/>
                <w:u w:val="none"/>
                <w:lang w:val="en-US" w:eastAsia="zh-CN"/>
              </w:rPr>
              <w:t>2024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4099" w:type="dxa"/>
            <w:gridSpan w:val="3"/>
            <w:tcBorders>
              <w:top w:val="nil"/>
              <w:left w:val="nil"/>
              <w:bottom w:val="single" w:color="auto" w:sz="4" w:space="0"/>
              <w:right w:val="nil"/>
            </w:tcBorders>
            <w:vAlign w:val="bottom"/>
          </w:tcPr>
          <w:p>
            <w:pPr>
              <w:jc w:val="right"/>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544" w:hRule="atLeast"/>
        </w:trPr>
        <w:tc>
          <w:tcPr>
            <w:tcW w:w="5898" w:type="dxa"/>
            <w:gridSpan w:val="4"/>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w:t>
            </w:r>
          </w:p>
        </w:tc>
        <w:tc>
          <w:tcPr>
            <w:tcW w:w="5727" w:type="dxa"/>
            <w:gridSpan w:val="4"/>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08"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92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928"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92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1</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928"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宋体" w:hAnsi="宋体" w:eastAsia="宋体" w:cs="宋体"/>
                <w:i w:val="0"/>
                <w:iCs w:val="0"/>
                <w:color w:val="000000"/>
                <w:sz w:val="20"/>
                <w:szCs w:val="20"/>
                <w:highlight w:val="none"/>
                <w:u w:val="none"/>
                <w:lang w:val="en-US" w:eastAsia="zh-CN"/>
              </w:rPr>
              <w:t>1</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4,842.33</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3,559.66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四、上级补助收入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五、事业收入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六、经营收入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七、附属单位上缴收入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八、其他收入</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39.00</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823.49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40</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187.72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auto"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928" w:type="dxa"/>
            <w:gridSpan w:val="2"/>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auto"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928"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50</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362.45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928"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92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single" w:color="auto"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928" w:type="dxa"/>
            <w:gridSpan w:val="2"/>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928"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4,881.33</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4,933.32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使用非财政拨款结余（含专用结余）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结余分配</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222.31</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60</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170.32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476"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gridAfter w:val="1"/>
          <w:wAfter w:w="34" w:type="dxa"/>
          <w:trHeight w:val="308" w:hRule="atLeast"/>
        </w:trPr>
        <w:tc>
          <w:tcPr>
            <w:tcW w:w="3346"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928"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5,103.64</w:t>
            </w:r>
          </w:p>
        </w:tc>
        <w:tc>
          <w:tcPr>
            <w:tcW w:w="317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19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5,103.64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1659" w:type="dxa"/>
            <w:gridSpan w:val="9"/>
            <w:tcBorders>
              <w:top w:val="nil"/>
              <w:left w:val="nil"/>
              <w:bottom w:val="nil"/>
              <w:right w:val="nil"/>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注：1.本表反映单位本年度的总收支和年末结转结余情况。</w:t>
            </w:r>
          </w:p>
          <w:p>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2.本套报表金额转换时可能存在尾数误差。</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9230"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60"/>
        <w:gridCol w:w="1037"/>
        <w:gridCol w:w="1037"/>
        <w:gridCol w:w="1037"/>
        <w:gridCol w:w="964"/>
        <w:gridCol w:w="367"/>
        <w:gridCol w:w="597"/>
        <w:gridCol w:w="1027"/>
        <w:gridCol w:w="9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9230" w:type="dxa"/>
            <w:gridSpan w:val="10"/>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9230" w:type="dxa"/>
            <w:gridSpan w:val="10"/>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eastAsia" w:ascii="Times New Roman" w:hAnsi="Times New Roman" w:eastAsia="宋体" w:cs="Times New Roman"/>
                <w:i w:val="0"/>
                <w:iCs w:val="0"/>
                <w:color w:val="000000"/>
                <w:sz w:val="20"/>
                <w:szCs w:val="20"/>
                <w:highlight w:val="none"/>
                <w:u w:val="none"/>
                <w:lang w:val="en-US" w:eastAsia="zh-CN"/>
              </w:rPr>
              <w:t>02</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3237" w:type="dxa"/>
            <w:gridSpan w:val="3"/>
            <w:tcBorders>
              <w:top w:val="nil"/>
              <w:left w:val="nil"/>
              <w:bottom w:val="single" w:color="auto" w:sz="4" w:space="0"/>
              <w:right w:val="nil"/>
            </w:tcBorders>
            <w:vAlign w:val="bottom"/>
          </w:tcPr>
          <w:p>
            <w:pP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单位：石家庄市审计局(本级)                                                                                                         </w:t>
            </w:r>
          </w:p>
        </w:tc>
        <w:tc>
          <w:tcPr>
            <w:tcW w:w="3405" w:type="dxa"/>
            <w:gridSpan w:val="4"/>
            <w:tcBorders>
              <w:top w:val="nil"/>
              <w:left w:val="nil"/>
              <w:bottom w:val="single" w:color="auto" w:sz="4" w:space="0"/>
              <w:right w:val="nil"/>
            </w:tcBorders>
            <w:vAlign w:val="bottom"/>
          </w:tcPr>
          <w:p>
            <w:pPr>
              <w:jc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default" w:ascii="Times New Roman" w:hAnsi="Times New Roman" w:eastAsia="方正仿宋_GB2312" w:cs="Times New Roman"/>
                <w:i w:val="0"/>
                <w:iCs w:val="0"/>
                <w:color w:val="000000"/>
                <w:sz w:val="20"/>
                <w:szCs w:val="20"/>
                <w:highlight w:val="none"/>
                <w:u w:val="none"/>
                <w:lang w:val="en-US" w:eastAsia="zh-CN"/>
              </w:rPr>
              <w:t>202</w:t>
            </w:r>
            <w:r>
              <w:rPr>
                <w:rFonts w:hint="eastAsia" w:ascii="Times New Roman" w:hAnsi="Times New Roman" w:eastAsia="方正仿宋_GB2312" w:cs="Times New Roman"/>
                <w:i w:val="0"/>
                <w:iCs w:val="0"/>
                <w:color w:val="000000"/>
                <w:sz w:val="20"/>
                <w:szCs w:val="20"/>
                <w:highlight w:val="none"/>
                <w:u w:val="none"/>
                <w:lang w:val="en-US" w:eastAsia="zh-CN"/>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588" w:type="dxa"/>
            <w:gridSpan w:val="3"/>
            <w:tcBorders>
              <w:top w:val="nil"/>
              <w:left w:val="nil"/>
              <w:bottom w:val="single" w:color="auto" w:sz="4" w:space="0"/>
              <w:right w:val="nil"/>
            </w:tcBorders>
            <w:vAlign w:val="bottom"/>
          </w:tcPr>
          <w:p>
            <w:pPr>
              <w:jc w:val="right"/>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200" w:type="dxa"/>
            <w:gridSpan w:val="2"/>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03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本年收入合计</w:t>
            </w:r>
          </w:p>
        </w:tc>
        <w:tc>
          <w:tcPr>
            <w:tcW w:w="103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财政拨款收入</w:t>
            </w:r>
          </w:p>
        </w:tc>
        <w:tc>
          <w:tcPr>
            <w:tcW w:w="103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上级补助收入</w:t>
            </w:r>
          </w:p>
        </w:tc>
        <w:tc>
          <w:tcPr>
            <w:tcW w:w="964" w:type="dxa"/>
            <w:vMerge w:val="restart"/>
            <w:tcBorders>
              <w:top w:val="single" w:color="auto" w:sz="4" w:space="0"/>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事业收入</w:t>
            </w:r>
          </w:p>
        </w:tc>
        <w:tc>
          <w:tcPr>
            <w:tcW w:w="964" w:type="dxa"/>
            <w:gridSpan w:val="2"/>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经营收入</w:t>
            </w:r>
          </w:p>
        </w:tc>
        <w:tc>
          <w:tcPr>
            <w:tcW w:w="102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附属单位上缴收入</w:t>
            </w:r>
          </w:p>
        </w:tc>
        <w:tc>
          <w:tcPr>
            <w:tcW w:w="964"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60"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03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3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3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96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4</w:t>
            </w:r>
          </w:p>
        </w:tc>
        <w:tc>
          <w:tcPr>
            <w:tcW w:w="964"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6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67"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4,881.33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4,842.33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一般公共服务支出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3,507.67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3,468.67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审计事务</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3,507.67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3,468.67</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行政运行</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2,547.35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2,547.35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2010804</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审计业务</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660.50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621.50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39.00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2010805</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审计管理</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267.83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267.83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2010806</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信息化建设</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2010899</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其他审计事务支出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20.00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20.00</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社会保障和就业支出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行政事业单位养老支出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823.49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行政单位离退休</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487.06</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487.06</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2080505</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机关事业单位基本养老保险缴费支出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336.43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336.43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卫生健康支出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行政事业单位医疗</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187.72</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行政单位医疗</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101.83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101.83</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2101103</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公务员医疗补助</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85.89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85.89</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住房保障支出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住房改革支出</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2210201</w:t>
            </w:r>
          </w:p>
        </w:tc>
        <w:tc>
          <w:tcPr>
            <w:tcW w:w="1160"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住房公积金</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362.45</w:t>
            </w:r>
          </w:p>
        </w:tc>
        <w:tc>
          <w:tcPr>
            <w:tcW w:w="103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9230" w:type="dxa"/>
            <w:gridSpan w:val="10"/>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注：本表反映单位本年度取得的各项收入情况。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黑体" w:hAnsi="黑体" w:eastAsia="黑体" w:cs="宋体"/>
          <w:bCs/>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9346" w:type="dxa"/>
        <w:jc w:val="center"/>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87"/>
        <w:gridCol w:w="1128"/>
        <w:gridCol w:w="126"/>
        <w:gridCol w:w="1000"/>
        <w:gridCol w:w="1126"/>
        <w:gridCol w:w="497"/>
        <w:gridCol w:w="629"/>
        <w:gridCol w:w="1126"/>
        <w:gridCol w:w="14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jc w:val="center"/>
        </w:trPr>
        <w:tc>
          <w:tcPr>
            <w:tcW w:w="9346" w:type="dxa"/>
            <w:gridSpan w:val="10"/>
            <w:tcBorders>
              <w:top w:val="nil"/>
              <w:left w:val="nil"/>
              <w:bottom w:val="nil"/>
              <w:right w:val="nil"/>
            </w:tcBorders>
            <w:vAlign w:val="bottom"/>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br w:type="page"/>
            </w:r>
            <w:r>
              <w:rPr>
                <w:rFonts w:hint="eastAsia" w:ascii="方正仿宋_GB2312" w:hAnsi="方正仿宋_GB2312" w:eastAsia="方正仿宋_GB2312" w:cs="方正仿宋_GB2312"/>
                <w:b w:val="0"/>
                <w:bCs/>
                <w:color w:val="auto"/>
                <w:kern w:val="0"/>
                <w:sz w:val="32"/>
                <w:szCs w:val="32"/>
                <w:highlight w:val="none"/>
                <w:lang w:val="en-US" w:eastAsia="zh-CN"/>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9346" w:type="dxa"/>
            <w:gridSpan w:val="10"/>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03</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jc w:val="center"/>
        </w:trPr>
        <w:tc>
          <w:tcPr>
            <w:tcW w:w="3481" w:type="dxa"/>
            <w:gridSpan w:val="4"/>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单位：石家庄市审计局(本级)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2623" w:type="dxa"/>
            <w:gridSpan w:val="3"/>
            <w:tcBorders>
              <w:top w:val="nil"/>
              <w:left w:val="nil"/>
              <w:bottom w:val="single" w:color="auto" w:sz="4" w:space="0"/>
              <w:right w:val="nil"/>
            </w:tcBorders>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eastAsiaTheme="minorEastAsia"/>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242" w:type="dxa"/>
            <w:gridSpan w:val="3"/>
            <w:tcBorders>
              <w:top w:val="nil"/>
              <w:left w:val="nil"/>
              <w:bottom w:val="single" w:color="auto" w:sz="4" w:space="0"/>
              <w:right w:val="nil"/>
            </w:tcBorders>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jc w:val="center"/>
        </w:trPr>
        <w:tc>
          <w:tcPr>
            <w:tcW w:w="2227" w:type="dxa"/>
            <w:gridSpan w:val="2"/>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128"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本年支出合计</w:t>
            </w:r>
          </w:p>
        </w:tc>
        <w:tc>
          <w:tcPr>
            <w:tcW w:w="1126" w:type="dxa"/>
            <w:gridSpan w:val="2"/>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126"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1126" w:type="dxa"/>
            <w:gridSpan w:val="2"/>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上缴上级支出</w:t>
            </w:r>
          </w:p>
        </w:tc>
        <w:tc>
          <w:tcPr>
            <w:tcW w:w="1126"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经营支出</w:t>
            </w:r>
          </w:p>
        </w:tc>
        <w:tc>
          <w:tcPr>
            <w:tcW w:w="148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8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128"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87" w:type="dxa"/>
            <w:vMerge w:val="continue"/>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8"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87" w:type="dxa"/>
            <w:vMerge w:val="continue"/>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8"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gridSpan w:val="2"/>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12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8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54" w:hRule="atLeast"/>
          <w:jc w:val="center"/>
        </w:trPr>
        <w:tc>
          <w:tcPr>
            <w:tcW w:w="222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128"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126"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12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126"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12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48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2227" w:type="dxa"/>
            <w:gridSpan w:val="2"/>
            <w:tcBorders>
              <w:top w:val="single" w:color="000000"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4,933.32</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3,896.62</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1,036.70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3,559.66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1,036.70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审计事务</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3,559.66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1,036.70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2010804</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审计业务</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736.87</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736.87</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2010805</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审计管理</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2010806</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信息化建设</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2010899</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其他审计事务支出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行政事业单位养老支出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行政单位离退休</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机关事业单位基本养老保险缴费支出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行政事业单位医疗</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行政单位医疗</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2101103</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公务员医疗补助</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1187" w:type="dxa"/>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1128"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48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jc w:val="center"/>
        </w:trPr>
        <w:tc>
          <w:tcPr>
            <w:tcW w:w="9346" w:type="dxa"/>
            <w:gridSpan w:val="10"/>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注：本表反映单位本年度各项支出情况。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11471" w:type="dxa"/>
        <w:tblInd w:w="-18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984"/>
        <w:gridCol w:w="624"/>
        <w:gridCol w:w="1427"/>
        <w:gridCol w:w="1659"/>
        <w:gridCol w:w="439"/>
        <w:gridCol w:w="624"/>
        <w:gridCol w:w="458"/>
        <w:gridCol w:w="837"/>
        <w:gridCol w:w="1219"/>
        <w:gridCol w:w="1219"/>
        <w:gridCol w:w="98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1471" w:type="dxa"/>
            <w:gridSpan w:val="11"/>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11471" w:type="dxa"/>
            <w:gridSpan w:val="11"/>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5694" w:type="dxa"/>
            <w:gridSpan w:val="4"/>
            <w:tcBorders>
              <w:top w:val="nil"/>
              <w:left w:val="nil"/>
              <w:bottom w:val="single" w:color="auto" w:sz="4" w:space="0"/>
              <w:right w:val="nil"/>
            </w:tcBorders>
            <w:vAlign w:val="bottom"/>
          </w:tcPr>
          <w:p>
            <w:pPr>
              <w:rPr>
                <w:rFonts w:hint="eastAsia" w:ascii="仿宋" w:hAnsi="仿宋" w:eastAsia="仿宋" w:cs="仿宋"/>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单位：单位：石家庄市审计局(本级)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1521" w:type="dxa"/>
            <w:gridSpan w:val="3"/>
            <w:tcBorders>
              <w:top w:val="nil"/>
              <w:left w:val="nil"/>
              <w:bottom w:val="single" w:color="auto" w:sz="4" w:space="0"/>
              <w:right w:val="nil"/>
            </w:tcBorders>
            <w:vAlign w:val="bottom"/>
          </w:tcPr>
          <w:p>
            <w:pPr>
              <w:jc w:val="center"/>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4256" w:type="dxa"/>
            <w:gridSpan w:val="4"/>
            <w:tcBorders>
              <w:top w:val="nil"/>
              <w:left w:val="nil"/>
              <w:bottom w:val="single" w:color="auto" w:sz="4" w:space="0"/>
              <w:right w:val="nil"/>
            </w:tcBorders>
            <w:vAlign w:val="bottom"/>
          </w:tcPr>
          <w:p>
            <w:pPr>
              <w:jc w:val="right"/>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4035" w:type="dxa"/>
            <w:gridSpan w:val="3"/>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收入</w:t>
            </w:r>
          </w:p>
        </w:tc>
        <w:tc>
          <w:tcPr>
            <w:tcW w:w="7436" w:type="dxa"/>
            <w:gridSpan w:val="8"/>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984"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    目</w:t>
            </w:r>
          </w:p>
        </w:tc>
        <w:tc>
          <w:tcPr>
            <w:tcW w:w="624"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42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金额</w:t>
            </w:r>
          </w:p>
        </w:tc>
        <w:tc>
          <w:tcPr>
            <w:tcW w:w="2098" w:type="dxa"/>
            <w:gridSpan w:val="2"/>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4"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1295" w:type="dxa"/>
            <w:gridSpan w:val="2"/>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合计</w:t>
            </w:r>
          </w:p>
        </w:tc>
        <w:tc>
          <w:tcPr>
            <w:tcW w:w="1219" w:type="dxa"/>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一般公共预算财政拨款</w:t>
            </w:r>
          </w:p>
        </w:tc>
        <w:tc>
          <w:tcPr>
            <w:tcW w:w="1219" w:type="dxa"/>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政府性基金预算财政拨款</w:t>
            </w:r>
          </w:p>
        </w:tc>
        <w:tc>
          <w:tcPr>
            <w:tcW w:w="981" w:type="dxa"/>
            <w:vMerge w:val="restart"/>
            <w:tcBorders>
              <w:top w:val="nil"/>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984"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4"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2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98"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4"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295" w:type="dxa"/>
            <w:gridSpan w:val="2"/>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1219" w:type="dxa"/>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981" w:type="dxa"/>
            <w:vMerge w:val="continue"/>
            <w:tcBorders>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4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624" w:type="dxa"/>
            <w:tcBorders>
              <w:top w:val="nil"/>
              <w:left w:val="nil"/>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295"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219"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1219"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981" w:type="dxa"/>
            <w:tcBorders>
              <w:top w:val="nil"/>
              <w:left w:val="nil"/>
              <w:bottom w:val="single" w:color="000000" w:sz="4" w:space="0"/>
              <w:right w:val="single" w:color="000000" w:sz="8"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4,842.33</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3,444.28</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3,444.28</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40</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823.49</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823.49</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187.72</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187.72</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auto"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1427"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auto"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624" w:type="dxa"/>
            <w:tcBorders>
              <w:top w:val="nil"/>
              <w:left w:val="nil"/>
              <w:bottom w:val="single" w:color="auto"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1295" w:type="dxa"/>
            <w:gridSpan w:val="2"/>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auto"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auto"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50</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362.45</w:t>
            </w: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362.45</w:t>
            </w: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auto" w:sz="4" w:space="0"/>
              <w:bottom w:val="single" w:color="auto" w:sz="4" w:space="0"/>
              <w:right w:val="single" w:color="auto"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1427"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62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1295"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single" w:color="auto" w:sz="4" w:space="0"/>
              <w:left w:val="single" w:color="000000" w:sz="4" w:space="0"/>
              <w:bottom w:val="single" w:color="000000" w:sz="4" w:space="0"/>
              <w:right w:val="single" w:color="000000" w:sz="4" w:space="0"/>
            </w:tcBorders>
            <w:vAlign w:val="center"/>
          </w:tcPr>
          <w:p>
            <w:pPr>
              <w:jc w:val="left"/>
              <w:rPr>
                <w:rFonts w:hint="eastAsia" w:ascii="宋体" w:hAnsi="宋体" w:eastAsia="宋体" w:cs="宋体"/>
                <w:i w:val="0"/>
                <w:iCs w:val="0"/>
                <w:color w:val="000000"/>
                <w:sz w:val="20"/>
                <w:szCs w:val="20"/>
                <w:highlight w:val="none"/>
                <w:u w:val="none"/>
              </w:rPr>
            </w:pP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1427"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624" w:type="dxa"/>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1295" w:type="dxa"/>
            <w:gridSpan w:val="2"/>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single" w:color="auto" w:sz="4" w:space="0"/>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single" w:color="auto" w:sz="4" w:space="0"/>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b/>
                <w:bCs/>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4,842.33</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4,817.94</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4,817.94</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年初财政拨款结转和结余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52.99</w:t>
            </w:r>
          </w:p>
        </w:tc>
        <w:tc>
          <w:tcPr>
            <w:tcW w:w="2098" w:type="dxa"/>
            <w:gridSpan w:val="2"/>
            <w:tcBorders>
              <w:top w:val="nil"/>
              <w:left w:val="nil"/>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年末财政拨款结转和结余</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60</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77.38</w:t>
            </w:r>
          </w:p>
        </w:tc>
        <w:tc>
          <w:tcPr>
            <w:tcW w:w="1219" w:type="dxa"/>
            <w:tcBorders>
              <w:top w:val="nil"/>
              <w:left w:val="nil"/>
              <w:bottom w:val="single" w:color="000000" w:sz="4" w:space="0"/>
              <w:right w:val="single" w:color="000000" w:sz="4" w:space="0"/>
            </w:tcBorders>
            <w:vAlign w:val="center"/>
          </w:tcPr>
          <w:p>
            <w:pPr>
              <w:jc w:val="both"/>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77.38</w:t>
            </w: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both"/>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52.99</w:t>
            </w:r>
          </w:p>
        </w:tc>
        <w:tc>
          <w:tcPr>
            <w:tcW w:w="2098" w:type="dxa"/>
            <w:gridSpan w:val="2"/>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14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98" w:type="dxa"/>
            <w:gridSpan w:val="2"/>
            <w:tcBorders>
              <w:top w:val="nil"/>
              <w:left w:val="nil"/>
              <w:bottom w:val="single" w:color="000000" w:sz="4" w:space="0"/>
              <w:right w:val="single" w:color="000000"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p>
        </w:tc>
        <w:tc>
          <w:tcPr>
            <w:tcW w:w="62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63</w:t>
            </w:r>
          </w:p>
        </w:tc>
        <w:tc>
          <w:tcPr>
            <w:tcW w:w="1295"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4" w:space="0"/>
              <w:right w:val="single" w:color="000000" w:sz="8" w:space="0"/>
            </w:tcBorders>
            <w:vAlign w:val="center"/>
          </w:tcPr>
          <w:p>
            <w:pPr>
              <w:jc w:val="lef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984" w:type="dxa"/>
            <w:tcBorders>
              <w:top w:val="nil"/>
              <w:left w:val="single" w:color="000000" w:sz="4" w:space="0"/>
              <w:bottom w:val="single" w:color="000000" w:sz="8"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8"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1427" w:type="dxa"/>
            <w:tcBorders>
              <w:top w:val="nil"/>
              <w:left w:val="nil"/>
              <w:bottom w:val="single" w:color="000000" w:sz="8"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4,895.32</w:t>
            </w:r>
          </w:p>
        </w:tc>
        <w:tc>
          <w:tcPr>
            <w:tcW w:w="2098" w:type="dxa"/>
            <w:gridSpan w:val="2"/>
            <w:tcBorders>
              <w:top w:val="nil"/>
              <w:left w:val="nil"/>
              <w:bottom w:val="single" w:color="000000" w:sz="8"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624" w:type="dxa"/>
            <w:tcBorders>
              <w:top w:val="nil"/>
              <w:left w:val="nil"/>
              <w:bottom w:val="single" w:color="000000" w:sz="8"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64</w:t>
            </w:r>
          </w:p>
        </w:tc>
        <w:tc>
          <w:tcPr>
            <w:tcW w:w="1295" w:type="dxa"/>
            <w:gridSpan w:val="2"/>
            <w:tcBorders>
              <w:top w:val="nil"/>
              <w:left w:val="nil"/>
              <w:bottom w:val="single" w:color="000000" w:sz="8"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4,895.32</w:t>
            </w:r>
          </w:p>
        </w:tc>
        <w:tc>
          <w:tcPr>
            <w:tcW w:w="1219" w:type="dxa"/>
            <w:tcBorders>
              <w:top w:val="nil"/>
              <w:left w:val="nil"/>
              <w:bottom w:val="single" w:color="000000" w:sz="8" w:space="0"/>
              <w:right w:val="single" w:color="000000" w:sz="4" w:space="0"/>
            </w:tcBorders>
            <w:vAlign w:val="center"/>
          </w:tcPr>
          <w:p>
            <w:pPr>
              <w:jc w:val="right"/>
              <w:rPr>
                <w:rFonts w:hint="default" w:ascii="Times New Roman" w:hAnsi="Times New Roman" w:cs="Times New Roman"/>
                <w:sz w:val="20"/>
                <w:szCs w:val="20"/>
                <w:highlight w:val="none"/>
              </w:rPr>
            </w:pPr>
          </w:p>
          <w:p>
            <w:pPr>
              <w:jc w:val="righ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4,895.32</w:t>
            </w:r>
          </w:p>
          <w:p>
            <w:pPr>
              <w:jc w:val="right"/>
              <w:rPr>
                <w:rFonts w:hint="default" w:ascii="Times New Roman" w:hAnsi="Times New Roman" w:eastAsia="宋体" w:cs="Times New Roman"/>
                <w:i w:val="0"/>
                <w:iCs w:val="0"/>
                <w:color w:val="000000"/>
                <w:sz w:val="20"/>
                <w:szCs w:val="20"/>
                <w:highlight w:val="none"/>
                <w:u w:val="none"/>
              </w:rPr>
            </w:pPr>
          </w:p>
        </w:tc>
        <w:tc>
          <w:tcPr>
            <w:tcW w:w="1219" w:type="dxa"/>
            <w:tcBorders>
              <w:top w:val="nil"/>
              <w:left w:val="nil"/>
              <w:bottom w:val="single" w:color="000000" w:sz="8"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981" w:type="dxa"/>
            <w:tcBorders>
              <w:top w:val="nil"/>
              <w:left w:val="nil"/>
              <w:bottom w:val="single" w:color="000000" w:sz="8" w:space="0"/>
              <w:right w:val="single" w:color="000000" w:sz="8"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1471" w:type="dxa"/>
            <w:gridSpan w:val="11"/>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注：本表反映单位本年度一般公共预算财政拨款、政府性基金预算财政拨款和国有资本经营预算财政拨款的总收支和年末结转结余情况。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8697" w:type="dxa"/>
        <w:tblInd w:w="-6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39"/>
        <w:gridCol w:w="1329"/>
        <w:gridCol w:w="705"/>
        <w:gridCol w:w="1305"/>
        <w:gridCol w:w="1366"/>
        <w:gridCol w:w="645"/>
        <w:gridCol w:w="210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57" w:hRule="atLeast"/>
        </w:trPr>
        <w:tc>
          <w:tcPr>
            <w:tcW w:w="8697" w:type="dxa"/>
            <w:gridSpan w:val="7"/>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8697" w:type="dxa"/>
            <w:gridSpan w:val="7"/>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05</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29" w:hRule="atLeast"/>
        </w:trPr>
        <w:tc>
          <w:tcPr>
            <w:tcW w:w="3273" w:type="dxa"/>
            <w:gridSpan w:val="3"/>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单位：石家庄市审计局(本级)</w:t>
            </w:r>
          </w:p>
        </w:tc>
        <w:tc>
          <w:tcPr>
            <w:tcW w:w="2671" w:type="dxa"/>
            <w:gridSpan w:val="2"/>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753" w:type="dxa"/>
            <w:gridSpan w:val="2"/>
            <w:tcBorders>
              <w:top w:val="nil"/>
              <w:left w:val="nil"/>
              <w:bottom w:val="single" w:color="auto" w:sz="4" w:space="0"/>
              <w:right w:val="nil"/>
            </w:tcBorders>
            <w:vAlign w:val="bottom"/>
          </w:tcPr>
          <w:p>
            <w:pPr>
              <w:keepNext w:val="0"/>
              <w:keepLines w:val="0"/>
              <w:widowControl/>
              <w:suppressLineNumbers w:val="0"/>
              <w:jc w:val="right"/>
              <w:textAlignment w:val="bottom"/>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2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129" w:type="dxa"/>
            <w:gridSpan w:val="5"/>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123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科目代码</w:t>
            </w:r>
          </w:p>
        </w:tc>
        <w:tc>
          <w:tcPr>
            <w:tcW w:w="1329"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2010"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2011" w:type="dxa"/>
            <w:gridSpan w:val="2"/>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2108"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46" w:hRule="atLeast"/>
        </w:trPr>
        <w:tc>
          <w:tcPr>
            <w:tcW w:w="123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32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1"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10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123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1329"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0"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011" w:type="dxa"/>
            <w:gridSpan w:val="2"/>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c>
          <w:tcPr>
            <w:tcW w:w="2108" w:type="dxa"/>
            <w:vMerge w:val="continue"/>
            <w:tcBorders>
              <w:top w:val="single" w:color="auto" w:sz="4" w:space="0"/>
              <w:left w:val="single" w:color="auto" w:sz="4" w:space="0"/>
              <w:bottom w:val="single" w:color="auto" w:sz="4" w:space="0"/>
              <w:right w:val="single" w:color="auto" w:sz="4" w:space="0"/>
            </w:tcBorders>
            <w:vAlign w:val="center"/>
          </w:tcPr>
          <w:p>
            <w:pPr>
              <w:jc w:val="center"/>
              <w:rPr>
                <w:rFonts w:hint="eastAsia" w:ascii="宋体" w:hAnsi="宋体" w:eastAsia="宋体" w:cs="宋体"/>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2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1</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w:t>
            </w:r>
          </w:p>
        </w:tc>
        <w:tc>
          <w:tcPr>
            <w:tcW w:w="2108"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69" w:hRule="atLeast"/>
        </w:trPr>
        <w:tc>
          <w:tcPr>
            <w:tcW w:w="2568"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4,817.94</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3,896.62</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921.32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3,444.28</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审计事务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3,444.28</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921.32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2,522.96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2010804</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审计业务</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621.50</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621.50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2010805</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审计管理</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267.83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2010806</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信息化建设</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2010899</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其他审计事务支出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行政事业单位养老支出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823.49</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行政单位离退休</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487.06</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机关事业单位基本养老保险缴费支出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336.43</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行政事业单位医疗</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187.72</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行政单位医疗</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101.83</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2101103</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公务员医疗补助</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85.89</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123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1329" w:type="dxa"/>
            <w:tcBorders>
              <w:top w:val="single" w:color="auto" w:sz="4" w:space="0"/>
              <w:left w:val="single" w:color="auto" w:sz="4" w:space="0"/>
              <w:bottom w:val="single" w:color="auto" w:sz="4" w:space="0"/>
              <w:right w:val="single" w:color="auto" w:sz="4" w:space="0"/>
            </w:tcBorders>
            <w:vAlign w:val="center"/>
          </w:tcPr>
          <w:p>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2010"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011"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362.45</w:t>
            </w:r>
          </w:p>
        </w:tc>
        <w:tc>
          <w:tcPr>
            <w:tcW w:w="2108"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61" w:hRule="atLeast"/>
        </w:trPr>
        <w:tc>
          <w:tcPr>
            <w:tcW w:w="8697" w:type="dxa"/>
            <w:gridSpan w:val="7"/>
            <w:tcBorders>
              <w:top w:val="single" w:color="auto" w:sz="4" w:space="0"/>
              <w:left w:val="nil"/>
              <w:bottom w:val="nil"/>
              <w:right w:val="nil"/>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注：本表反映单位本年度一般公共预算财政拨款支出情况。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11338" w:type="dxa"/>
        <w:tblInd w:w="-16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4"/>
        <w:gridCol w:w="1814"/>
        <w:gridCol w:w="1020"/>
        <w:gridCol w:w="964"/>
        <w:gridCol w:w="438"/>
        <w:gridCol w:w="1376"/>
        <w:gridCol w:w="587"/>
        <w:gridCol w:w="377"/>
        <w:gridCol w:w="964"/>
        <w:gridCol w:w="1814"/>
        <w:gridCol w:w="10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624" w:hRule="atLeast"/>
        </w:trPr>
        <w:tc>
          <w:tcPr>
            <w:tcW w:w="11338" w:type="dxa"/>
            <w:gridSpan w:val="11"/>
            <w:tcBorders>
              <w:top w:val="nil"/>
              <w:left w:val="nil"/>
              <w:bottom w:val="nil"/>
              <w:right w:val="nil"/>
            </w:tcBorders>
            <w:vAlign w:val="bottom"/>
          </w:tcPr>
          <w:p>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11338" w:type="dxa"/>
            <w:gridSpan w:val="11"/>
            <w:tcBorders>
              <w:top w:val="nil"/>
              <w:left w:val="nil"/>
              <w:bottom w:val="nil"/>
              <w:right w:val="nil"/>
            </w:tcBorders>
            <w:vAlign w:val="bottom"/>
          </w:tcPr>
          <w:p>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06</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5200" w:type="dxa"/>
            <w:gridSpan w:val="5"/>
            <w:tcBorders>
              <w:top w:val="nil"/>
              <w:left w:val="nil"/>
              <w:bottom w:val="single" w:color="auto" w:sz="4" w:space="0"/>
              <w:right w:val="nil"/>
            </w:tcBorders>
            <w:vAlign w:val="bottom"/>
          </w:tcPr>
          <w:p>
            <w:pP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单位：石家庄市审计局(本级) </w:t>
            </w:r>
            <w:r>
              <w:rPr>
                <w:rFonts w:hint="eastAsia" w:asciiTheme="minorEastAsia" w:hAnsiTheme="minorEastAsia" w:cstheme="minorEastAsia"/>
                <w:i w:val="0"/>
                <w:iCs w:val="0"/>
                <w:color w:val="000000"/>
                <w:kern w:val="0"/>
                <w:sz w:val="18"/>
                <w:szCs w:val="18"/>
                <w:highlight w:val="none"/>
                <w:u w:val="none"/>
                <w:lang w:val="en-US" w:eastAsia="zh-CN" w:bidi="ar"/>
              </w:rPr>
              <w:t xml:space="preserve">                                                                   </w:t>
            </w:r>
          </w:p>
        </w:tc>
        <w:tc>
          <w:tcPr>
            <w:tcW w:w="1963" w:type="dxa"/>
            <w:gridSpan w:val="2"/>
            <w:tcBorders>
              <w:top w:val="nil"/>
              <w:left w:val="nil"/>
              <w:bottom w:val="single" w:color="auto" w:sz="4" w:space="0"/>
              <w:right w:val="nil"/>
            </w:tcBorders>
            <w:vAlign w:val="bottom"/>
          </w:tcPr>
          <w:p>
            <w:pPr>
              <w:jc w:val="center"/>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Theme="minorEastAsia" w:hAnsiTheme="minorEastAsia" w:cstheme="minorEastAsia"/>
                <w:i w:val="0"/>
                <w:iCs w:val="0"/>
                <w:color w:val="000000"/>
                <w:kern w:val="0"/>
                <w:sz w:val="18"/>
                <w:szCs w:val="18"/>
                <w:highlight w:val="none"/>
                <w:u w:val="none"/>
                <w:lang w:val="en-US" w:eastAsia="zh-CN" w:bidi="ar"/>
              </w:rPr>
              <w:t>2024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4175" w:type="dxa"/>
            <w:gridSpan w:val="4"/>
            <w:tcBorders>
              <w:top w:val="nil"/>
              <w:left w:val="nil"/>
              <w:bottom w:val="single" w:color="auto" w:sz="4" w:space="0"/>
              <w:right w:val="nil"/>
            </w:tcBorders>
            <w:vAlign w:val="bottom"/>
          </w:tcPr>
          <w:p>
            <w:pPr>
              <w:jc w:val="right"/>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3798"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w:t>
            </w:r>
          </w:p>
        </w:tc>
        <w:tc>
          <w:tcPr>
            <w:tcW w:w="7540" w:type="dxa"/>
            <w:gridSpan w:val="8"/>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科目代码</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10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1020"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工资福利支出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3,090.40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商品和服务支出</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317.65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债务利息及费用支出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基本工资</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1,324.69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30201</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34.05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国内债务付息</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津贴补贴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293.00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30202</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印刷费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3.41</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国外债务付息</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奖金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353.88</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30203</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咨询费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30106</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伙食补助费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30204</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手续费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房屋建筑物购建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绩效工资</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98.80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30205</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水费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办公设备购置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机关事业单位基本养老保险缴费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336.43</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30206</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电费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专用设备购置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职业年金缴费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30207</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邮电费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69.38</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31005</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基础设施建设</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职工基本医疗保险缴费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101.83</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30208</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取暖费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31006</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大型修缮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公务员医疗补助缴费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85.89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物业管理费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信息网络及软件购置更新</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其他社会保障缴费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30211</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差旅费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13.11</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物资储备</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住房公积金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362.45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30212</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因公出国（境）费用</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土地补偿</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30114</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30213</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维修（护）费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0.99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安置补助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其他工资福利支出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133.43</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30214</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租赁费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地上附着物和青苗补偿</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对个人和家庭的补助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488.57</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30215</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会议费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拆迁补偿</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离休费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30216</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培训费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7.81</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退休费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487.06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30217</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0.16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其他交通工具购置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退职（役）费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30218</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专用材料费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文物和陈列品购置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30304</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抚恤金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30224</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被装购置费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无形资产购置</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30305</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生活补助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1.50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30225</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专用燃料费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其他资本性支出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30306</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救济费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30226</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劳务费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对企业补助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30227</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委托业务费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6.07</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资本金注入</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助学金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30228</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工会经费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26.40</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31203</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政府投资基金股权投资</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奖励金</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福利费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14.15</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31204</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费用补贴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个人农业生产补贴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30231</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2.36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31205</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利息补贴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30311</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代缴社会保险费</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其他交通费用</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93.19</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其他对企业补助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其他对个人和家庭的补助</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30240</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税金及附加费用</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30299</w:t>
            </w:r>
          </w:p>
        </w:tc>
        <w:tc>
          <w:tcPr>
            <w:tcW w:w="181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其他商品和服务支出</w:t>
            </w: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46.56</w:t>
            </w: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39907</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国家赔偿费用支出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39908</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对民间非营利组织和群众性自治组织补贴</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经常性赠与</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39910</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资本性赠与</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964" w:type="dxa"/>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p>
        </w:tc>
        <w:tc>
          <w:tcPr>
            <w:tcW w:w="181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020"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1814" w:type="dxa"/>
            <w:gridSpan w:val="2"/>
            <w:tcBorders>
              <w:top w:val="single" w:color="auto" w:sz="4" w:space="0"/>
              <w:left w:val="single" w:color="auto" w:sz="4" w:space="0"/>
              <w:bottom w:val="single" w:color="auto" w:sz="4" w:space="0"/>
              <w:right w:val="single" w:color="auto" w:sz="4" w:space="0"/>
            </w:tcBorders>
            <w:vAlign w:val="center"/>
          </w:tcPr>
          <w:p>
            <w:pPr>
              <w:jc w:val="left"/>
              <w:rPr>
                <w:rFonts w:hint="eastAsia" w:asciiTheme="minorEastAsia" w:hAnsiTheme="minorEastAsia" w:eastAsiaTheme="minorEastAsia" w:cstheme="minorEastAsia"/>
                <w:i w:val="0"/>
                <w:iCs w:val="0"/>
                <w:color w:val="000000"/>
                <w:sz w:val="18"/>
                <w:szCs w:val="18"/>
                <w:highlight w:val="none"/>
                <w:u w:val="none"/>
              </w:rPr>
            </w:pPr>
          </w:p>
        </w:tc>
        <w:tc>
          <w:tcPr>
            <w:tcW w:w="964" w:type="dxa"/>
            <w:gridSpan w:val="2"/>
            <w:tcBorders>
              <w:top w:val="single" w:color="auto" w:sz="4" w:space="0"/>
              <w:left w:val="single" w:color="auto" w:sz="4" w:space="0"/>
              <w:bottom w:val="single" w:color="auto" w:sz="4" w:space="0"/>
              <w:right w:val="single" w:color="auto" w:sz="4" w:space="0"/>
            </w:tcBorders>
            <w:vAlign w:val="center"/>
          </w:tcPr>
          <w:p>
            <w:pPr>
              <w:jc w:val="left"/>
              <w:rPr>
                <w:rFonts w:hint="default" w:ascii="Times New Roman" w:hAnsi="Times New Roman" w:cs="Times New Roman" w:eastAsiaTheme="minorEastAsia"/>
                <w:i w:val="0"/>
                <w:iCs w:val="0"/>
                <w:color w:val="000000"/>
                <w:sz w:val="18"/>
                <w:szCs w:val="18"/>
                <w:highlight w:val="none"/>
                <w:u w:val="none"/>
              </w:rPr>
            </w:pPr>
          </w:p>
        </w:tc>
        <w:tc>
          <w:tcPr>
            <w:tcW w:w="96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39999</w:t>
            </w:r>
          </w:p>
        </w:tc>
        <w:tc>
          <w:tcPr>
            <w:tcW w:w="1814"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2778" w:type="dxa"/>
            <w:gridSpan w:val="2"/>
            <w:tcBorders>
              <w:top w:val="single" w:color="auto" w:sz="4" w:space="0"/>
              <w:left w:val="single" w:color="auto" w:sz="4" w:space="0"/>
              <w:bottom w:val="single" w:color="auto" w:sz="4" w:space="0"/>
              <w:right w:val="single" w:color="auto" w:sz="4" w:space="0"/>
            </w:tcBorders>
            <w:vAlign w:val="center"/>
          </w:tcPr>
          <w:p>
            <w:pPr>
              <w:jc w:val="center"/>
              <w:rPr>
                <w:rFonts w:hint="default" w:ascii="Times New Roman" w:hAnsi="Times New Roman" w:cs="Times New Roman" w:eastAsiaTheme="minorEastAsia"/>
                <w:sz w:val="18"/>
                <w:szCs w:val="18"/>
                <w:highlight w:val="none"/>
                <w:lang w:val="en-US" w:eastAsia="zh-CN"/>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人员经费合计</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default" w:ascii="Times New Roman" w:hAnsi="Times New Roman" w:cs="Times New Roman" w:eastAsiaTheme="minorEastAsia"/>
                <w:sz w:val="18"/>
                <w:szCs w:val="18"/>
                <w:highlight w:val="none"/>
              </w:rPr>
            </w:pPr>
            <w:r>
              <w:rPr>
                <w:rFonts w:hint="default" w:ascii="Times New Roman" w:hAnsi="Times New Roman" w:cs="Times New Roman" w:eastAsiaTheme="minorEastAsia"/>
                <w:sz w:val="18"/>
                <w:szCs w:val="18"/>
                <w:highlight w:val="none"/>
              </w:rPr>
              <w:t>3,578.97</w:t>
            </w:r>
          </w:p>
        </w:tc>
        <w:tc>
          <w:tcPr>
            <w:tcW w:w="6520" w:type="dxa"/>
            <w:gridSpan w:val="7"/>
            <w:tcBorders>
              <w:top w:val="single" w:color="auto" w:sz="4" w:space="0"/>
              <w:left w:val="single" w:color="auto" w:sz="4" w:space="0"/>
              <w:bottom w:val="single" w:color="auto" w:sz="4" w:space="0"/>
              <w:right w:val="single" w:color="auto" w:sz="4" w:space="0"/>
            </w:tcBorders>
            <w:vAlign w:val="center"/>
          </w:tcPr>
          <w:p>
            <w:pPr>
              <w:jc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公用经费合计</w:t>
            </w:r>
          </w:p>
        </w:tc>
        <w:tc>
          <w:tcPr>
            <w:tcW w:w="1020" w:type="dxa"/>
            <w:tcBorders>
              <w:top w:val="single" w:color="auto" w:sz="4" w:space="0"/>
              <w:left w:val="single" w:color="auto" w:sz="4" w:space="0"/>
              <w:bottom w:val="single" w:color="auto" w:sz="4" w:space="0"/>
              <w:right w:val="single" w:color="auto" w:sz="4" w:space="0"/>
            </w:tcBorders>
            <w:vAlign w:val="center"/>
          </w:tcPr>
          <w:p>
            <w:pPr>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317.65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10" w:hRule="atLeast"/>
        </w:trPr>
        <w:tc>
          <w:tcPr>
            <w:tcW w:w="11338" w:type="dxa"/>
            <w:gridSpan w:val="11"/>
            <w:tcBorders>
              <w:top w:val="single" w:color="auto" w:sz="4" w:space="0"/>
              <w:left w:val="nil"/>
              <w:bottom w:val="nil"/>
              <w:right w:val="nil"/>
            </w:tcBorders>
            <w:vAlign w:val="center"/>
          </w:tcPr>
          <w:p>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注：本表反映单位本年度一般公共预算财政拨款基本支出明细情况。</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10480" w:type="dxa"/>
        <w:tblInd w:w="-14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0"/>
        <w:gridCol w:w="1474"/>
        <w:gridCol w:w="1306"/>
        <w:gridCol w:w="1027"/>
        <w:gridCol w:w="1107"/>
        <w:gridCol w:w="418"/>
        <w:gridCol w:w="702"/>
        <w:gridCol w:w="1146"/>
        <w:gridCol w:w="20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0480" w:type="dxa"/>
            <w:gridSpan w:val="9"/>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0480" w:type="dxa"/>
            <w:gridSpan w:val="9"/>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07</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4040" w:type="dxa"/>
            <w:gridSpan w:val="3"/>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单位：石家庄市审计局(本级) </w:t>
            </w: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2552" w:type="dxa"/>
            <w:gridSpan w:val="3"/>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888" w:type="dxa"/>
            <w:gridSpan w:val="3"/>
            <w:tcBorders>
              <w:top w:val="nil"/>
              <w:left w:val="nil"/>
              <w:bottom w:val="single" w:color="auto" w:sz="4" w:space="0"/>
              <w:right w:val="nil"/>
            </w:tcBorders>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2734" w:type="dxa"/>
            <w:gridSpan w:val="2"/>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306"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1027" w:type="dxa"/>
            <w:vMerge w:val="restart"/>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w:t>
            </w:r>
          </w:p>
        </w:tc>
        <w:tc>
          <w:tcPr>
            <w:tcW w:w="3373" w:type="dxa"/>
            <w:gridSpan w:val="4"/>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c>
          <w:tcPr>
            <w:tcW w:w="2040" w:type="dxa"/>
            <w:vMerge w:val="restart"/>
            <w:tcBorders>
              <w:top w:val="single" w:color="auto" w:sz="4" w:space="0"/>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474"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30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1120" w:type="dxa"/>
            <w:gridSpan w:val="2"/>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146"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2040" w:type="dxa"/>
            <w:vMerge w:val="continue"/>
            <w:tcBorders>
              <w:left w:val="nil"/>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结转</w:t>
            </w:r>
          </w:p>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74"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0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20"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46"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40" w:type="dxa"/>
            <w:vMerge w:val="continue"/>
            <w:tcBorders>
              <w:left w:val="nil"/>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1260" w:type="dxa"/>
            <w:vMerge w:val="continue"/>
            <w:tcBorders>
              <w:top w:val="nil"/>
              <w:left w:val="single" w:color="000000" w:sz="4" w:space="0"/>
              <w:bottom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474" w:type="dxa"/>
            <w:vMerge w:val="continue"/>
            <w:tcBorders>
              <w:top w:val="nil"/>
              <w:left w:val="nil"/>
              <w:bottom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06"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0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20"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46"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40" w:type="dxa"/>
            <w:vMerge w:val="continue"/>
            <w:tcBorders>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27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306" w:type="dxa"/>
            <w:tcBorders>
              <w:top w:val="nil"/>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1</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2</w:t>
            </w:r>
          </w:p>
        </w:tc>
        <w:tc>
          <w:tcPr>
            <w:tcW w:w="110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3</w:t>
            </w:r>
          </w:p>
        </w:tc>
        <w:tc>
          <w:tcPr>
            <w:tcW w:w="1120"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4</w:t>
            </w:r>
          </w:p>
        </w:tc>
        <w:tc>
          <w:tcPr>
            <w:tcW w:w="11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5</w:t>
            </w:r>
          </w:p>
        </w:tc>
        <w:tc>
          <w:tcPr>
            <w:tcW w:w="2040"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lang w:val="en-US" w:eastAsia="zh-CN"/>
              </w:rPr>
            </w:pPr>
            <w:r>
              <w:rPr>
                <w:rFonts w:hint="default" w:ascii="Times New Roman" w:hAnsi="Times New Roman" w:eastAsia="方正仿宋_GB2312" w:cs="Times New Roman"/>
                <w:i w:val="0"/>
                <w:iCs w:val="0"/>
                <w:color w:val="000000"/>
                <w:sz w:val="20"/>
                <w:szCs w:val="20"/>
                <w:highlight w:val="none"/>
                <w:u w:val="none"/>
                <w:lang w:val="en-US" w:eastAsia="zh-CN"/>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69" w:hRule="atLeast"/>
        </w:trPr>
        <w:tc>
          <w:tcPr>
            <w:tcW w:w="2734"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306" w:type="dxa"/>
            <w:tcBorders>
              <w:top w:val="nil"/>
              <w:left w:val="single" w:color="auto"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07"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20"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146"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2040" w:type="dxa"/>
            <w:tcBorders>
              <w:top w:val="nil"/>
              <w:left w:val="nil"/>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10480" w:type="dxa"/>
            <w:gridSpan w:val="9"/>
            <w:tcBorders>
              <w:top w:val="nil"/>
              <w:left w:val="nil"/>
              <w:bottom w:val="nil"/>
              <w:right w:val="nil"/>
            </w:tcBorders>
            <w:vAlign w:val="center"/>
          </w:tcPr>
          <w:p>
            <w:pP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注：本表反映单位本年度政府性基金预算财政拨款收入、支出及结转和结余情况。（如无相关数据，则需注明空表列示）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br w:type="page"/>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W w:w="9428" w:type="dxa"/>
        <w:tblInd w:w="-9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93"/>
        <w:gridCol w:w="731"/>
        <w:gridCol w:w="1296"/>
        <w:gridCol w:w="1332"/>
        <w:gridCol w:w="5"/>
        <w:gridCol w:w="47"/>
        <w:gridCol w:w="1281"/>
        <w:gridCol w:w="10"/>
        <w:gridCol w:w="173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9428" w:type="dxa"/>
            <w:gridSpan w:val="9"/>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9428" w:type="dxa"/>
            <w:gridSpan w:val="9"/>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08</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0" w:hRule="atLeast"/>
        </w:trPr>
        <w:tc>
          <w:tcPr>
            <w:tcW w:w="3724" w:type="dxa"/>
            <w:gridSpan w:val="2"/>
            <w:tcBorders>
              <w:top w:val="nil"/>
              <w:left w:val="nil"/>
              <w:bottom w:val="single" w:color="auto" w:sz="4" w:space="0"/>
              <w:right w:val="nil"/>
            </w:tcBorders>
            <w:vAlign w:val="bottom"/>
          </w:tcPr>
          <w:p>
            <w:pPr>
              <w:keepNext w:val="0"/>
              <w:keepLines w:val="0"/>
              <w:widowControl/>
              <w:suppressLineNumbers w:val="0"/>
              <w:jc w:val="both"/>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单位：石家庄市审计局(本级)</w:t>
            </w:r>
          </w:p>
        </w:tc>
        <w:tc>
          <w:tcPr>
            <w:tcW w:w="2680" w:type="dxa"/>
            <w:gridSpan w:val="4"/>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3024" w:type="dxa"/>
            <w:gridSpan w:val="3"/>
            <w:tcBorders>
              <w:top w:val="nil"/>
              <w:left w:val="nil"/>
              <w:bottom w:val="single" w:color="auto" w:sz="4" w:space="0"/>
              <w:right w:val="nil"/>
            </w:tcBorders>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5020" w:type="dxa"/>
            <w:gridSpan w:val="3"/>
            <w:vMerge w:val="restart"/>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项目</w:t>
            </w:r>
          </w:p>
        </w:tc>
        <w:tc>
          <w:tcPr>
            <w:tcW w:w="4408" w:type="dxa"/>
            <w:gridSpan w:val="6"/>
            <w:vMerge w:val="restart"/>
            <w:tcBorders>
              <w:top w:val="single" w:color="auto" w:sz="4" w:space="0"/>
              <w:left w:val="single" w:color="auto" w:sz="4" w:space="0"/>
              <w:right w:val="single" w:color="000000" w:sz="4" w:space="0"/>
            </w:tcBorders>
            <w:vAlign w:val="center"/>
          </w:tcPr>
          <w:p>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5020" w:type="dxa"/>
            <w:gridSpan w:val="3"/>
            <w:vMerge w:val="continue"/>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4408" w:type="dxa"/>
            <w:gridSpan w:val="6"/>
            <w:vMerge w:val="continue"/>
            <w:tcBorders>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2993"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2027" w:type="dxa"/>
            <w:gridSpan w:val="2"/>
            <w:vMerge w:val="restart"/>
            <w:tcBorders>
              <w:top w:val="single" w:color="auto" w:sz="4" w:space="0"/>
              <w:left w:val="single" w:color="auto" w:sz="4" w:space="0"/>
              <w:bottom w:val="single" w:color="auto" w:sz="4" w:space="0"/>
              <w:right w:val="single" w:color="auto"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科目名称</w:t>
            </w:r>
          </w:p>
        </w:tc>
        <w:tc>
          <w:tcPr>
            <w:tcW w:w="1337" w:type="dxa"/>
            <w:gridSpan w:val="2"/>
            <w:vMerge w:val="restart"/>
            <w:tcBorders>
              <w:top w:val="nil"/>
              <w:left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合计</w:t>
            </w:r>
          </w:p>
        </w:tc>
        <w:tc>
          <w:tcPr>
            <w:tcW w:w="1338" w:type="dxa"/>
            <w:gridSpan w:val="3"/>
            <w:vMerge w:val="restart"/>
            <w:tcBorders>
              <w:top w:val="nil"/>
              <w:left w:val="nil"/>
              <w:right w:val="single" w:color="000000"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基本支出</w:t>
            </w:r>
          </w:p>
        </w:tc>
        <w:tc>
          <w:tcPr>
            <w:tcW w:w="1733" w:type="dxa"/>
            <w:vMerge w:val="restart"/>
            <w:tcBorders>
              <w:top w:val="nil"/>
              <w:left w:val="nil"/>
              <w:right w:val="single" w:color="000000" w:sz="4" w:space="0"/>
            </w:tcBorders>
            <w:vAlign w:val="center"/>
          </w:tcPr>
          <w:p>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12" w:hRule="atLeast"/>
        </w:trPr>
        <w:tc>
          <w:tcPr>
            <w:tcW w:w="2993" w:type="dxa"/>
            <w:vMerge w:val="continue"/>
            <w:tcBorders>
              <w:top w:val="single" w:color="auto" w:sz="4" w:space="0"/>
              <w:left w:val="single" w:color="auto" w:sz="4" w:space="0"/>
              <w:bottom w:val="single" w:color="auto"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27" w:type="dxa"/>
            <w:gridSpan w:val="2"/>
            <w:vMerge w:val="continue"/>
            <w:tcBorders>
              <w:top w:val="single" w:color="auto" w:sz="4" w:space="0"/>
              <w:left w:val="nil"/>
              <w:bottom w:val="single" w:color="auto" w:sz="4" w:space="0"/>
              <w:right w:val="single" w:color="auto"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37" w:type="dxa"/>
            <w:gridSpan w:val="2"/>
            <w:vMerge w:val="continue"/>
            <w:tcBorders>
              <w:left w:val="single" w:color="auto"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338" w:type="dxa"/>
            <w:gridSpan w:val="3"/>
            <w:vMerge w:val="continue"/>
            <w:tcBorders>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733" w:type="dxa"/>
            <w:vMerge w:val="continue"/>
            <w:tcBorders>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5020" w:type="dxa"/>
            <w:gridSpan w:val="3"/>
            <w:tcBorders>
              <w:top w:val="single" w:color="auto" w:sz="4" w:space="0"/>
              <w:left w:val="single" w:color="auto" w:sz="4" w:space="0"/>
              <w:bottom w:val="single" w:color="000000" w:sz="4" w:space="0"/>
              <w:right w:val="single" w:color="auto"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栏次</w:t>
            </w:r>
          </w:p>
        </w:tc>
        <w:tc>
          <w:tcPr>
            <w:tcW w:w="1332" w:type="dxa"/>
            <w:tcBorders>
              <w:top w:val="nil"/>
              <w:left w:val="single" w:color="auto"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1</w:t>
            </w:r>
          </w:p>
        </w:tc>
        <w:tc>
          <w:tcPr>
            <w:tcW w:w="1333" w:type="dxa"/>
            <w:gridSpan w:val="3"/>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2</w:t>
            </w:r>
          </w:p>
        </w:tc>
        <w:tc>
          <w:tcPr>
            <w:tcW w:w="1743"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5020" w:type="dxa"/>
            <w:gridSpan w:val="3"/>
            <w:tcBorders>
              <w:top w:val="single" w:color="000000" w:sz="4" w:space="0"/>
              <w:left w:val="single" w:color="000000" w:sz="4" w:space="0"/>
              <w:bottom w:val="single" w:color="000000" w:sz="4" w:space="0"/>
              <w:right w:val="single" w:color="000000" w:sz="4" w:space="0"/>
            </w:tcBorders>
            <w:vAlign w:val="center"/>
          </w:tcPr>
          <w:p>
            <w:pPr>
              <w:jc w:val="center"/>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合计</w:t>
            </w:r>
          </w:p>
        </w:tc>
        <w:tc>
          <w:tcPr>
            <w:tcW w:w="1332" w:type="dxa"/>
            <w:tcBorders>
              <w:top w:val="single" w:color="000000" w:sz="4" w:space="0"/>
              <w:left w:val="single" w:color="000000"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333" w:type="dxa"/>
            <w:gridSpan w:val="3"/>
            <w:tcBorders>
              <w:top w:val="single" w:color="000000" w:sz="4" w:space="0"/>
              <w:left w:val="single" w:color="000000"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c>
          <w:tcPr>
            <w:tcW w:w="1743" w:type="dxa"/>
            <w:gridSpan w:val="2"/>
            <w:tcBorders>
              <w:top w:val="single" w:color="000000" w:sz="4" w:space="0"/>
              <w:left w:val="single" w:color="000000" w:sz="4" w:space="0"/>
              <w:bottom w:val="single" w:color="000000" w:sz="4" w:space="0"/>
              <w:right w:val="single" w:color="000000" w:sz="4" w:space="0"/>
            </w:tcBorders>
            <w:vAlign w:val="center"/>
          </w:tcPr>
          <w:p>
            <w:pPr>
              <w:jc w:val="right"/>
              <w:rPr>
                <w:rFonts w:hint="default" w:ascii="Times New Roman" w:hAnsi="Times New Roman" w:eastAsia="宋体" w:cs="Times New Roman"/>
                <w:i w:val="0"/>
                <w:iCs w:val="0"/>
                <w:color w:val="000000"/>
                <w:sz w:val="20"/>
                <w:szCs w:val="20"/>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308" w:hRule="atLeast"/>
        </w:trPr>
        <w:tc>
          <w:tcPr>
            <w:tcW w:w="9428" w:type="dxa"/>
            <w:gridSpan w:val="9"/>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注：本表反映单位本年度国有资本经营预算财政拨款支出情况。（如无相关数据，则需注明空表列示）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6"/>
        <w:tblpPr w:leftFromText="180" w:rightFromText="180" w:vertAnchor="text" w:horzAnchor="page" w:tblpX="282" w:tblpY="39"/>
        <w:tblOverlap w:val="never"/>
        <w:tblW w:w="1159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7"/>
        <w:gridCol w:w="1226"/>
        <w:gridCol w:w="814"/>
        <w:gridCol w:w="946"/>
        <w:gridCol w:w="519"/>
        <w:gridCol w:w="544"/>
        <w:gridCol w:w="777"/>
        <w:gridCol w:w="845"/>
        <w:gridCol w:w="5"/>
        <w:gridCol w:w="1133"/>
        <w:gridCol w:w="640"/>
        <w:gridCol w:w="1027"/>
        <w:gridCol w:w="946"/>
        <w:gridCol w:w="11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550" w:hRule="atLeast"/>
        </w:trPr>
        <w:tc>
          <w:tcPr>
            <w:tcW w:w="11596" w:type="dxa"/>
            <w:gridSpan w:val="14"/>
            <w:tcBorders>
              <w:top w:val="nil"/>
              <w:left w:val="nil"/>
              <w:bottom w:val="nil"/>
              <w:right w:val="nil"/>
            </w:tcBorders>
            <w:vAlign w:val="bottom"/>
          </w:tcPr>
          <w:p>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 w:hRule="atLeast"/>
        </w:trPr>
        <w:tc>
          <w:tcPr>
            <w:tcW w:w="11596" w:type="dxa"/>
            <w:gridSpan w:val="14"/>
            <w:tcBorders>
              <w:top w:val="nil"/>
              <w:left w:val="nil"/>
              <w:bottom w:val="nil"/>
              <w:right w:val="nil"/>
            </w:tcBorders>
            <w:vAlign w:val="bottom"/>
          </w:tcPr>
          <w:p>
            <w:pPr>
              <w:keepNext w:val="0"/>
              <w:keepLines w:val="0"/>
              <w:widowControl/>
              <w:suppressLineNumbers w:val="0"/>
              <w:jc w:val="righ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09</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60" w:hRule="atLeast"/>
        </w:trPr>
        <w:tc>
          <w:tcPr>
            <w:tcW w:w="4492" w:type="dxa"/>
            <w:gridSpan w:val="5"/>
            <w:tcBorders>
              <w:top w:val="nil"/>
              <w:left w:val="nil"/>
              <w:bottom w:val="single" w:color="auto" w:sz="4" w:space="0"/>
              <w:right w:val="nil"/>
            </w:tcBorders>
            <w:vAlign w:val="bottom"/>
          </w:tcPr>
          <w:p>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单位（单位）：石家庄市审计局(本级)</w:t>
            </w:r>
          </w:p>
        </w:tc>
        <w:tc>
          <w:tcPr>
            <w:tcW w:w="2166" w:type="dxa"/>
            <w:gridSpan w:val="3"/>
            <w:tcBorders>
              <w:top w:val="nil"/>
              <w:left w:val="nil"/>
              <w:bottom w:val="single" w:color="auto" w:sz="4" w:space="0"/>
              <w:right w:val="nil"/>
            </w:tcBorders>
            <w:vAlign w:val="bottom"/>
          </w:tcPr>
          <w:p>
            <w:pPr>
              <w:keepNext w:val="0"/>
              <w:keepLines w:val="0"/>
              <w:widowControl/>
              <w:suppressLineNumbers w:val="0"/>
              <w:jc w:val="center"/>
              <w:textAlignment w:val="bottom"/>
              <w:rPr>
                <w:rFonts w:hint="default" w:ascii="宋体" w:hAnsi="宋体" w:eastAsia="宋体" w:cs="宋体"/>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202</w:t>
            </w:r>
            <w:r>
              <w:rPr>
                <w:rFonts w:hint="eastAsia" w:ascii="Times New Roman" w:hAnsi="Times New Roman" w:eastAsia="宋体" w:cs="Times New Roman"/>
                <w:i w:val="0"/>
                <w:iCs w:val="0"/>
                <w:color w:val="000000"/>
                <w:kern w:val="0"/>
                <w:sz w:val="18"/>
                <w:szCs w:val="18"/>
                <w:highlight w:val="none"/>
                <w:u w:val="none"/>
                <w:lang w:val="en-US" w:eastAsia="zh-CN" w:bidi="ar"/>
              </w:rPr>
              <w:t>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4938" w:type="dxa"/>
            <w:gridSpan w:val="6"/>
            <w:tcBorders>
              <w:top w:val="nil"/>
              <w:left w:val="nil"/>
              <w:bottom w:val="single" w:color="auto" w:sz="4" w:space="0"/>
              <w:right w:val="nil"/>
            </w:tcBorders>
            <w:vAlign w:val="bottom"/>
          </w:tcPr>
          <w:p>
            <w:pPr>
              <w:keepNext w:val="0"/>
              <w:keepLines w:val="0"/>
              <w:widowControl/>
              <w:suppressLineNumbers w:val="0"/>
              <w:jc w:val="right"/>
              <w:textAlignment w:val="bottom"/>
              <w:rPr>
                <w:rFonts w:hint="default" w:ascii="宋体" w:hAnsi="宋体" w:eastAsia="宋体" w:cs="宋体"/>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5813" w:type="dxa"/>
            <w:gridSpan w:val="7"/>
            <w:tcBorders>
              <w:top w:val="single" w:color="auto" w:sz="4" w:space="0"/>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预算数</w:t>
            </w:r>
          </w:p>
        </w:tc>
        <w:tc>
          <w:tcPr>
            <w:tcW w:w="5783" w:type="dxa"/>
            <w:gridSpan w:val="7"/>
            <w:tcBorders>
              <w:top w:val="single" w:color="auto" w:sz="4" w:space="0"/>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vMerge w:val="restart"/>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1226"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2823" w:type="dxa"/>
            <w:gridSpan w:val="4"/>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77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850" w:type="dxa"/>
            <w:gridSpan w:val="2"/>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1133"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2613" w:type="dxa"/>
            <w:gridSpan w:val="3"/>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1187" w:type="dxa"/>
            <w:vMerge w:val="restart"/>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vMerge w:val="continue"/>
            <w:tcBorders>
              <w:top w:val="nil"/>
              <w:left w:val="single" w:color="000000" w:sz="4" w:space="0"/>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1226"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81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1063"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77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850" w:type="dxa"/>
            <w:gridSpan w:val="2"/>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1133"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640"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1187" w:type="dxa"/>
            <w:vMerge w:val="continue"/>
            <w:tcBorders>
              <w:top w:val="nil"/>
              <w:left w:val="nil"/>
              <w:bottom w:val="single" w:color="000000" w:sz="4" w:space="0"/>
              <w:right w:val="single" w:color="000000" w:sz="4" w:space="0"/>
            </w:tcBorders>
            <w:vAlign w:val="center"/>
          </w:tcPr>
          <w:p>
            <w:pPr>
              <w:jc w:val="center"/>
              <w:rPr>
                <w:rFonts w:hint="eastAsia" w:ascii="方正仿宋_GB2312" w:hAnsi="方正仿宋_GB2312" w:eastAsia="方正仿宋_GB2312" w:cs="方正仿宋_GB2312"/>
                <w:i w:val="0"/>
                <w:iCs w:val="0"/>
                <w:color w:val="000000"/>
                <w:sz w:val="18"/>
                <w:szCs w:val="18"/>
                <w:highlight w:val="none"/>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tcBorders>
              <w:top w:val="nil"/>
              <w:left w:val="single" w:color="000000" w:sz="4" w:space="0"/>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w:t>
            </w:r>
          </w:p>
        </w:tc>
        <w:tc>
          <w:tcPr>
            <w:tcW w:w="122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2</w:t>
            </w:r>
          </w:p>
        </w:tc>
        <w:tc>
          <w:tcPr>
            <w:tcW w:w="814"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3</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4</w:t>
            </w:r>
          </w:p>
        </w:tc>
        <w:tc>
          <w:tcPr>
            <w:tcW w:w="1063"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5</w:t>
            </w:r>
          </w:p>
        </w:tc>
        <w:tc>
          <w:tcPr>
            <w:tcW w:w="77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6</w:t>
            </w:r>
          </w:p>
        </w:tc>
        <w:tc>
          <w:tcPr>
            <w:tcW w:w="850" w:type="dxa"/>
            <w:gridSpan w:val="2"/>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7</w:t>
            </w:r>
          </w:p>
        </w:tc>
        <w:tc>
          <w:tcPr>
            <w:tcW w:w="1133"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8</w:t>
            </w:r>
          </w:p>
        </w:tc>
        <w:tc>
          <w:tcPr>
            <w:tcW w:w="640"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9</w:t>
            </w:r>
          </w:p>
        </w:tc>
        <w:tc>
          <w:tcPr>
            <w:tcW w:w="102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10</w:t>
            </w:r>
          </w:p>
        </w:tc>
        <w:tc>
          <w:tcPr>
            <w:tcW w:w="946"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11</w:t>
            </w:r>
          </w:p>
        </w:tc>
        <w:tc>
          <w:tcPr>
            <w:tcW w:w="1187" w:type="dxa"/>
            <w:tcBorders>
              <w:top w:val="nil"/>
              <w:left w:val="nil"/>
              <w:bottom w:val="single" w:color="000000" w:sz="4" w:space="0"/>
              <w:right w:val="single" w:color="000000" w:sz="4" w:space="0"/>
            </w:tcBorders>
            <w:vAlign w:val="center"/>
          </w:tcPr>
          <w:p>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987" w:type="dxa"/>
            <w:tcBorders>
              <w:top w:val="nil"/>
              <w:left w:val="single" w:color="000000" w:sz="4" w:space="0"/>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8.20</w:t>
            </w:r>
          </w:p>
        </w:tc>
        <w:tc>
          <w:tcPr>
            <w:tcW w:w="1226"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814"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7.00</w:t>
            </w:r>
          </w:p>
        </w:tc>
        <w:tc>
          <w:tcPr>
            <w:tcW w:w="946"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1063"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7.00</w:t>
            </w:r>
          </w:p>
        </w:tc>
        <w:tc>
          <w:tcPr>
            <w:tcW w:w="777"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1.20</w:t>
            </w:r>
          </w:p>
        </w:tc>
        <w:tc>
          <w:tcPr>
            <w:tcW w:w="850" w:type="dxa"/>
            <w:gridSpan w:val="2"/>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2.52</w:t>
            </w:r>
          </w:p>
        </w:tc>
        <w:tc>
          <w:tcPr>
            <w:tcW w:w="1133"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640"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2.36</w:t>
            </w:r>
          </w:p>
        </w:tc>
        <w:tc>
          <w:tcPr>
            <w:tcW w:w="1027"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p>
        </w:tc>
        <w:tc>
          <w:tcPr>
            <w:tcW w:w="946"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2.36</w:t>
            </w:r>
          </w:p>
        </w:tc>
        <w:tc>
          <w:tcPr>
            <w:tcW w:w="1187" w:type="dxa"/>
            <w:tcBorders>
              <w:top w:val="nil"/>
              <w:left w:val="nil"/>
              <w:bottom w:val="single" w:color="000000" w:sz="4" w:space="0"/>
              <w:right w:val="single" w:color="000000" w:sz="4" w:space="0"/>
            </w:tcBorders>
            <w:vAlign w:val="center"/>
          </w:tcPr>
          <w:p>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431" w:hRule="atLeast"/>
        </w:trPr>
        <w:tc>
          <w:tcPr>
            <w:tcW w:w="11596" w:type="dxa"/>
            <w:gridSpan w:val="14"/>
            <w:tcBorders>
              <w:top w:val="nil"/>
              <w:left w:val="nil"/>
              <w:bottom w:val="nil"/>
              <w:right w:val="nil"/>
            </w:tcBorders>
            <w:vAlign w:val="center"/>
          </w:tcPr>
          <w:p>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注：本表反映单位本年度财政拨款“三公”经费支出预决算情况。其中：预算数为“三公”经费全年预算数，反映按规定程序调整后的预算数；决算数是包括当年财政拨款和以前年度结转资金安排的实际支出。</w:t>
            </w:r>
          </w:p>
        </w:tc>
      </w:tr>
    </w:tbl>
    <w:p>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pPr>
        <w:jc w:val="center"/>
        <w:rPr>
          <w:rFonts w:ascii="Times New Roman" w:eastAsia="黑体"/>
          <w:sz w:val="44"/>
          <w:szCs w:val="44"/>
        </w:rPr>
      </w:pPr>
      <w:r>
        <w:rPr>
          <w:rFonts w:hint="eastAsia" w:ascii="仿宋_GB2312" w:hAnsi="宋体" w:eastAsia="仿宋_GB2312"/>
          <w:b/>
          <w:color w:val="auto"/>
          <w:kern w:val="0"/>
          <w:sz w:val="32"/>
          <w:szCs w:val="32"/>
          <w:highlight w:val="none"/>
        </w:rPr>
        <w:br w:type="page"/>
      </w:r>
      <w:r>
        <w:rPr>
          <w:rFonts w:ascii="Times New Roman" w:eastAsia="黑体"/>
          <w:b w:val="0"/>
          <w:sz w:val="44"/>
          <w:szCs w:val="44"/>
        </w:rPr>
        <w:t>第三部分</w:t>
      </w:r>
      <w:r>
        <w:rPr>
          <w:rFonts w:ascii="Times New Roman" w:eastAsia="仿宋_GB2312"/>
          <w:b w:val="0"/>
          <w:sz w:val="44"/>
          <w:szCs w:val="44"/>
        </w:rPr>
        <w:t>2024</w:t>
      </w:r>
      <w:r>
        <w:rPr>
          <w:rFonts w:ascii="Times New Roman" w:eastAsia="黑体"/>
          <w:b w:val="0"/>
          <w:sz w:val="44"/>
          <w:szCs w:val="44"/>
        </w:rPr>
        <w:t>年度</w:t>
      </w:r>
      <w:r>
        <w:rPr>
          <w:rFonts w:hint="eastAsia" w:ascii="Times New Roman" w:eastAsia="黑体"/>
          <w:b w:val="0"/>
          <w:sz w:val="44"/>
          <w:szCs w:val="44"/>
          <w:lang w:eastAsia="zh-CN"/>
        </w:rPr>
        <w:t>单位</w:t>
      </w:r>
      <w:r>
        <w:rPr>
          <w:rFonts w:ascii="Times New Roman" w:eastAsia="黑体"/>
          <w:b w:val="0"/>
          <w:sz w:val="44"/>
          <w:szCs w:val="44"/>
        </w:rPr>
        <w:t>决算情况说明</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一、收入支出决算总体情况说明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Times New Roman" w:eastAsia="仿宋_GB2312"/>
          <w:sz w:val="32"/>
          <w:szCs w:val="32"/>
        </w:rPr>
      </w:pPr>
      <w:r>
        <w:rPr>
          <w:rFonts w:ascii="Times New Roman" w:eastAsia="仿宋_GB2312"/>
          <w:b w:val="0"/>
          <w:sz w:val="32"/>
          <w:szCs w:val="32"/>
        </w:rPr>
        <w:t>本单位2024年度收、支总计（含结转和结余）均为5,103.64万元。与2023年度决算相比，收支各减少756.90万元，下降12.9%，主要原因是</w:t>
      </w:r>
      <w:r>
        <w:rPr>
          <w:rFonts w:hint="eastAsia" w:ascii="Times New Roman" w:eastAsia="仿宋_GB2312"/>
          <w:b w:val="0"/>
          <w:sz w:val="32"/>
          <w:szCs w:val="32"/>
          <w:lang w:eastAsia="zh-CN"/>
        </w:rPr>
        <w:t>人员变化人员经费支出减少和</w:t>
      </w:r>
      <w:r>
        <w:rPr>
          <w:rFonts w:hint="eastAsia" w:ascii="FangSong_GB2312" w:hAnsi="FangSong_GB2312" w:eastAsia="FangSong_GB2312"/>
          <w:sz w:val="32"/>
        </w:rPr>
        <w:t>专项资金支出减少，相应调减了预算收入</w:t>
      </w:r>
      <w:r>
        <w:rPr>
          <w:rFonts w:ascii="Times New Roman" w:eastAsia="仿宋_GB2312"/>
          <w:b w:val="0"/>
          <w:sz w:val="32"/>
          <w:szCs w:val="32"/>
        </w:rPr>
        <w:t>。</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Arial" w:cs="Times New Roman"/>
          <w:highlight w:val="none"/>
        </w:rPr>
      </w:pPr>
      <w:r>
        <w:rPr>
          <w:rFonts w:hint="eastAsia" w:ascii="Times New Roman" w:hAnsi="Times New Roman" w:eastAsia="宋体"/>
        </w:rPr>
        <w:drawing>
          <wp:inline distT="0" distB="0" distL="114300" distR="114300">
            <wp:extent cx="5256530" cy="2988310"/>
            <wp:effectExtent l="5080" t="4445" r="889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default" w:ascii="Times New Roman" w:hAnsi="Times New Roman" w:eastAsia="Arial" w:cs="Times New Roman"/>
          <w:i w:val="0"/>
          <w:iCs w:val="0"/>
          <w:caps w:val="0"/>
          <w:color w:val="000000"/>
          <w:spacing w:val="0"/>
          <w:sz w:val="18"/>
          <w:szCs w:val="18"/>
          <w:highlight w:val="none"/>
          <w:shd w:val="clear" w:fill="FFFFFF"/>
        </w:rPr>
        <w:t> </w:t>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二、收入决算情况说明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本年收入合计4,881.33万元，其中：财政拨款收入4,842.33万元，占99.2%；上级补助收入0.00万元，占0.0%；事业收入0.00万元，占0.0%；经营收入0.00万元，占0.0%；附属单位上缴收入0.00万元，占0.0%；其他收入39.00万元，占0.8%。</w:t>
      </w:r>
    </w:p>
    <w:p>
      <w:pPr>
        <w:adjustRightInd w:val="0"/>
        <w:snapToGrid w:val="0"/>
        <w:spacing w:line="580" w:lineRule="exact"/>
        <w:jc w:val="both"/>
        <w:rPr>
          <w:rFonts w:hint="default" w:ascii="Times New Roman" w:hAnsi="Times New Roman" w:eastAsia="仿宋_GB2312" w:cs="Times New Roman"/>
          <w:kern w:val="2"/>
          <w:sz w:val="32"/>
          <w:szCs w:val="32"/>
          <w:highlight w:val="yellow"/>
          <w:lang w:val="zh-CN"/>
        </w:rPr>
      </w:pPr>
      <w:r>
        <w:rPr>
          <w:rFonts w:ascii="Times New Roman" w:hAnsi="Times New Roman" w:eastAsia="仿宋_GB2312"/>
          <w:kern w:val="2"/>
          <w:sz w:val="32"/>
          <w:szCs w:val="32"/>
          <w:highlight w:val="yellow"/>
          <w:lang w:val="zh-CN"/>
        </w:rPr>
        <w:drawing>
          <wp:anchor distT="0" distB="0" distL="114300" distR="114300" simplePos="0" relativeHeight="251661312" behindDoc="0" locked="0" layoutInCell="1" allowOverlap="1">
            <wp:simplePos x="0" y="0"/>
            <wp:positionH relativeFrom="column">
              <wp:posOffset>-16510</wp:posOffset>
            </wp:positionH>
            <wp:positionV relativeFrom="paragraph">
              <wp:posOffset>201930</wp:posOffset>
            </wp:positionV>
            <wp:extent cx="5256530" cy="2988310"/>
            <wp:effectExtent l="5080" t="4445" r="8890" b="17145"/>
            <wp:wrapTopAndBottom/>
            <wp:docPr id="9" name="图表 9"/>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anchor>
        </w:drawing>
      </w:r>
    </w:p>
    <w:p>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三、支出决算情况说明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本单位2024年度本年支出合计4,933.32万元，其中：基本支出3,896.62万元，占79.0%；项目支出1,036.70万元，占21.0%；上缴上级支出0.00万元，占0.0%；经营支出0.00万元，占0.0%；对附属单位补助支出0.00万元，占0.0%。</w:t>
      </w:r>
    </w:p>
    <w:p>
      <w:pPr>
        <w:autoSpaceDE w:val="0"/>
        <w:autoSpaceDN w:val="0"/>
        <w:adjustRightInd w:val="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cs="Times New Roman"/>
          <w:sz w:val="32"/>
          <w:szCs w:val="32"/>
          <w:highlight w:val="none"/>
        </w:rPr>
        <w:drawing>
          <wp:inline distT="0" distB="0" distL="114300" distR="114300">
            <wp:extent cx="5256530" cy="2988310"/>
            <wp:effectExtent l="5080" t="4445" r="1143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四、财政拨款收入支出决算总体情况说明</w:t>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（一）财政拨款收支与</w:t>
      </w:r>
      <w:r>
        <w:rPr>
          <w:rFonts w:ascii="Times New Roman" w:eastAsia="仿宋_GB2312"/>
          <w:b/>
          <w:sz w:val="32"/>
          <w:szCs w:val="32"/>
        </w:rPr>
        <w:t>2023</w:t>
      </w:r>
      <w:r>
        <w:rPr>
          <w:rFonts w:ascii="Times New Roman" w:eastAsia="楷体_GB2312"/>
          <w:b/>
          <w:sz w:val="32"/>
          <w:szCs w:val="32"/>
        </w:rPr>
        <w:t>年度决算对比情况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本单位2024年度财政拨款收、支总计（含结转和结余）均为4,895.32万元。与2023年度相比，财政拨款收支各减少537.40万元，降低9.9%，主要原因是</w:t>
      </w:r>
      <w:r>
        <w:rPr>
          <w:rFonts w:hint="eastAsia" w:ascii="Times New Roman" w:eastAsia="仿宋_GB2312"/>
          <w:b w:val="0"/>
          <w:sz w:val="32"/>
          <w:szCs w:val="32"/>
        </w:rPr>
        <w:t>人员经费收支</w:t>
      </w:r>
      <w:r>
        <w:rPr>
          <w:rFonts w:hint="eastAsia" w:ascii="Times New Roman" w:eastAsia="仿宋_GB2312"/>
          <w:b w:val="0"/>
          <w:sz w:val="32"/>
          <w:szCs w:val="32"/>
          <w:lang w:eastAsia="zh-CN"/>
        </w:rPr>
        <w:t>和</w:t>
      </w:r>
      <w:r>
        <w:rPr>
          <w:rFonts w:hint="eastAsia" w:ascii="Times New Roman" w:eastAsia="仿宋_GB2312"/>
          <w:b w:val="0"/>
          <w:sz w:val="32"/>
          <w:szCs w:val="32"/>
        </w:rPr>
        <w:t>专项资金收支减少，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本单位2024年度财政拨款本年收入4,842.33万元,比上年减少432.57万元，降低8.2%，主要原因是</w:t>
      </w:r>
      <w:r>
        <w:rPr>
          <w:rFonts w:hint="eastAsia" w:ascii="FangSong_GB2312" w:hAnsi="FangSong_GB2312" w:eastAsia="FangSong_GB2312"/>
          <w:sz w:val="32"/>
        </w:rPr>
        <w:t>人员经费及项目经费收入减少</w:t>
      </w:r>
      <w:r>
        <w:rPr>
          <w:rFonts w:ascii="Times New Roman" w:eastAsia="仿宋_GB2312"/>
          <w:b w:val="0"/>
          <w:sz w:val="32"/>
          <w:szCs w:val="32"/>
        </w:rPr>
        <w:t>；本年支出4,817.94万元，比上年减少561.79万元，降低10.4%，主要原因是</w:t>
      </w:r>
      <w:r>
        <w:rPr>
          <w:rFonts w:hint="eastAsia" w:ascii="Times New Roman" w:eastAsia="仿宋_GB2312"/>
          <w:b w:val="0"/>
          <w:sz w:val="32"/>
          <w:szCs w:val="32"/>
          <w:lang w:eastAsia="zh-CN"/>
        </w:rPr>
        <w:t>人员经费</w:t>
      </w:r>
      <w:r>
        <w:rPr>
          <w:rFonts w:hint="eastAsia" w:ascii="FangSong_GB2312" w:hAnsi="FangSong_GB2312" w:eastAsia="FangSong_GB2312"/>
          <w:sz w:val="32"/>
        </w:rPr>
        <w:t>本年支出减少，以及部分项目支出减少</w:t>
      </w:r>
      <w:r>
        <w:rPr>
          <w:rFonts w:ascii="Times New Roman" w:eastAsia="仿宋_GB2312"/>
          <w:b w:val="0"/>
          <w:sz w:val="32"/>
          <w:szCs w:val="32"/>
        </w:rPr>
        <w:t>。具体情况如下：</w:t>
      </w:r>
    </w:p>
    <w:p>
      <w:pPr>
        <w:widowControl/>
        <w:spacing w:before="0" w:beforeLines="0" w:beforeAutospacing="0" w:after="0" w:afterLines="0" w:afterAutospacing="0" w:line="360" w:lineRule="auto"/>
        <w:ind w:firstLine="200" w:firstLineChars="200"/>
        <w:jc w:val="left"/>
        <w:outlineLvl w:val="1"/>
        <w:rPr>
          <w:rFonts w:ascii="Times New Roman" w:eastAsia="仿宋_GB2312"/>
          <w:sz w:val="32"/>
          <w:szCs w:val="32"/>
        </w:rPr>
      </w:pPr>
      <w:r>
        <w:rPr>
          <w:rFonts w:ascii="Times New Roman" w:eastAsia="仿宋_GB2312"/>
          <w:b w:val="0"/>
          <w:sz w:val="32"/>
          <w:szCs w:val="32"/>
        </w:rPr>
        <w:t>一般公共预算财政拨款本年收入4,842.33万元,比上年减少432.57万元，降低8.2%，主要原因是</w:t>
      </w:r>
      <w:r>
        <w:rPr>
          <w:rFonts w:hint="eastAsia" w:ascii="Times New Roman" w:eastAsia="仿宋_GB2312"/>
          <w:b w:val="0"/>
          <w:sz w:val="32"/>
          <w:szCs w:val="32"/>
        </w:rPr>
        <w:t>专项项目</w:t>
      </w:r>
      <w:r>
        <w:rPr>
          <w:rFonts w:hint="eastAsia" w:ascii="Times New Roman" w:eastAsia="仿宋_GB2312"/>
          <w:b w:val="0"/>
          <w:sz w:val="32"/>
          <w:szCs w:val="32"/>
          <w:lang w:eastAsia="zh-CN"/>
        </w:rPr>
        <w:t>收入</w:t>
      </w:r>
      <w:r>
        <w:rPr>
          <w:rFonts w:hint="eastAsia" w:ascii="Times New Roman" w:eastAsia="仿宋_GB2312"/>
          <w:b w:val="0"/>
          <w:sz w:val="32"/>
          <w:szCs w:val="32"/>
        </w:rPr>
        <w:t>减少</w:t>
      </w:r>
      <w:r>
        <w:rPr>
          <w:rFonts w:ascii="Times New Roman" w:eastAsia="仿宋_GB2312"/>
          <w:b w:val="0"/>
          <w:sz w:val="32"/>
          <w:szCs w:val="32"/>
        </w:rPr>
        <w:t>；本年支出4,817.94万元，比上年减少561.79万元，降低10.4%，主要原因是</w:t>
      </w:r>
      <w:r>
        <w:rPr>
          <w:rFonts w:hint="eastAsia" w:ascii="Times New Roman" w:eastAsia="仿宋_GB2312"/>
          <w:b w:val="0"/>
          <w:sz w:val="32"/>
          <w:szCs w:val="32"/>
        </w:rPr>
        <w:t>人员经费本年支出减少，以及部分项目支出减少。本</w:t>
      </w:r>
      <w:r>
        <w:rPr>
          <w:rFonts w:hint="eastAsia" w:ascii="Times New Roman" w:eastAsia="仿宋_GB2312"/>
          <w:b w:val="0"/>
          <w:sz w:val="32"/>
          <w:szCs w:val="32"/>
          <w:lang w:eastAsia="zh-CN"/>
        </w:rPr>
        <w:t>单位</w:t>
      </w:r>
      <w:r>
        <w:rPr>
          <w:rFonts w:hint="eastAsia" w:ascii="Times New Roman" w:eastAsia="仿宋_GB2312"/>
          <w:b w:val="0"/>
          <w:sz w:val="32"/>
          <w:szCs w:val="32"/>
        </w:rPr>
        <w:t>2024年度无政府性基金预算财政拨款收入和国有资本经营预算财政拨款收</w:t>
      </w:r>
      <w:r>
        <w:rPr>
          <w:rFonts w:hint="eastAsia" w:ascii="Times New Roman" w:eastAsia="仿宋_GB2312"/>
          <w:b w:val="0"/>
          <w:sz w:val="32"/>
          <w:szCs w:val="32"/>
          <w:lang w:eastAsia="zh-CN"/>
        </w:rPr>
        <w:t>入。</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sz w:val="32"/>
          <w:szCs w:val="32"/>
          <w:highlight w:val="none"/>
          <w:lang w:val="en-US" w:eastAsia="zh-CN"/>
        </w:rPr>
      </w:pPr>
      <w:r>
        <w:rPr>
          <w:rFonts w:ascii="Times New Roman" w:hAnsi="Times New Roman" w:eastAsia="仿宋_GB2312"/>
          <w:sz w:val="32"/>
          <w:szCs w:val="32"/>
        </w:rPr>
        <w:drawing>
          <wp:inline distT="0" distB="0" distL="114300" distR="114300">
            <wp:extent cx="5256530" cy="2988310"/>
            <wp:effectExtent l="5080" t="4445" r="8890" b="17145"/>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（二）财政拨款收支与年初预算数对比情况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本单位2024年度财政拨款本年收入4,842.33万元，完成年初预算的87.9%，比年初预算减少665.34万元，决算数小于预算数主要原因是</w:t>
      </w:r>
      <w:r>
        <w:rPr>
          <w:rFonts w:hint="eastAsia" w:ascii="Times New Roman" w:eastAsia="仿宋_GB2312"/>
          <w:b w:val="0"/>
          <w:sz w:val="32"/>
          <w:szCs w:val="32"/>
        </w:rPr>
        <w:t>是部分项目支出减少，相应调减收入</w:t>
      </w:r>
      <w:r>
        <w:rPr>
          <w:rFonts w:ascii="Times New Roman" w:eastAsia="仿宋_GB2312"/>
          <w:b w:val="0"/>
          <w:sz w:val="32"/>
          <w:szCs w:val="32"/>
        </w:rPr>
        <w:t>；本年支出4,817.94万元，完成年初预算的87.5%，比年初预算减少689.73万元，决算数小于预算数主要原因是</w:t>
      </w:r>
      <w:r>
        <w:rPr>
          <w:rFonts w:hint="eastAsia" w:ascii="Times New Roman" w:eastAsia="仿宋_GB2312"/>
          <w:b w:val="0"/>
          <w:sz w:val="32"/>
          <w:szCs w:val="32"/>
          <w:lang w:eastAsia="zh-CN"/>
        </w:rPr>
        <w:t>人员经费</w:t>
      </w:r>
      <w:r>
        <w:rPr>
          <w:rFonts w:hint="eastAsia" w:ascii="FangSong_GB2312" w:hAnsi="FangSong_GB2312" w:eastAsia="FangSong_GB2312"/>
          <w:sz w:val="32"/>
        </w:rPr>
        <w:t>本年支出减少，以及部分项目支出减少</w:t>
      </w:r>
      <w:r>
        <w:rPr>
          <w:rFonts w:ascii="Times New Roman" w:eastAsia="仿宋_GB2312"/>
          <w:b w:val="0"/>
          <w:sz w:val="32"/>
          <w:szCs w:val="32"/>
        </w:rPr>
        <w:t>。具体情况如下：</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一般公共预算财政拨款本年收入完成年初预算的87.9%，比年初预算减少665.34万元，主要原因是</w:t>
      </w:r>
      <w:r>
        <w:rPr>
          <w:rFonts w:hint="eastAsia" w:ascii="Times New Roman" w:eastAsia="仿宋_GB2312"/>
          <w:b w:val="0"/>
          <w:sz w:val="32"/>
          <w:szCs w:val="32"/>
        </w:rPr>
        <w:t>部分项目支出减少，相应调减收入</w:t>
      </w:r>
      <w:r>
        <w:rPr>
          <w:rFonts w:ascii="Times New Roman" w:eastAsia="仿宋_GB2312"/>
          <w:b w:val="0"/>
          <w:sz w:val="32"/>
          <w:szCs w:val="32"/>
        </w:rPr>
        <w:t>；支出完成年初预算的87.5%，比年初预算减少689.73万元，主要原因是</w:t>
      </w:r>
      <w:r>
        <w:rPr>
          <w:rFonts w:hint="eastAsia" w:ascii="Times New Roman" w:eastAsia="仿宋_GB2312"/>
          <w:b w:val="0"/>
          <w:sz w:val="32"/>
          <w:szCs w:val="32"/>
          <w:lang w:eastAsia="zh-CN"/>
        </w:rPr>
        <w:t>人员经费</w:t>
      </w:r>
      <w:r>
        <w:rPr>
          <w:rFonts w:hint="eastAsia" w:ascii="FangSong_GB2312" w:hAnsi="FangSong_GB2312" w:eastAsia="FangSong_GB2312"/>
          <w:sz w:val="32"/>
        </w:rPr>
        <w:t>本年支出减少，以及部分项目支出减少</w:t>
      </w:r>
      <w:r>
        <w:rPr>
          <w:rFonts w:ascii="Times New Roman" w:eastAsia="仿宋_GB2312"/>
          <w:b w:val="0"/>
          <w:sz w:val="32"/>
          <w:szCs w:val="32"/>
        </w:rPr>
        <w:t>。</w:t>
      </w:r>
      <w:r>
        <w:rPr>
          <w:rFonts w:hint="eastAsia" w:ascii="Times New Roman" w:eastAsia="仿宋_GB2312"/>
          <w:b w:val="0"/>
          <w:sz w:val="32"/>
          <w:szCs w:val="32"/>
        </w:rPr>
        <w:t>本</w:t>
      </w:r>
      <w:r>
        <w:rPr>
          <w:rFonts w:hint="eastAsia" w:ascii="Times New Roman" w:eastAsia="仿宋_GB2312"/>
          <w:b w:val="0"/>
          <w:sz w:val="32"/>
          <w:szCs w:val="32"/>
          <w:lang w:eastAsia="zh-CN"/>
        </w:rPr>
        <w:t>单位</w:t>
      </w:r>
      <w:r>
        <w:rPr>
          <w:rFonts w:hint="eastAsia" w:ascii="Times New Roman" w:eastAsia="仿宋_GB2312"/>
          <w:b w:val="0"/>
          <w:sz w:val="32"/>
          <w:szCs w:val="32"/>
        </w:rPr>
        <w:t>2024年度无政府性基金预算财政拨款收入和国有资本经营预算财政拨款收</w:t>
      </w:r>
      <w:r>
        <w:rPr>
          <w:rFonts w:hint="eastAsia" w:ascii="Times New Roman" w:eastAsia="仿宋_GB2312"/>
          <w:b w:val="0"/>
          <w:sz w:val="32"/>
          <w:szCs w:val="32"/>
          <w:lang w:eastAsia="zh-CN"/>
        </w:rPr>
        <w:t>入。</w:t>
      </w: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eastAsia="Arial" w:cs="Times New Roman"/>
          <w:highlight w:val="none"/>
        </w:rPr>
      </w:pPr>
    </w:p>
    <w:p>
      <w:pPr>
        <w:pStyle w:val="13"/>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sz w:val="32"/>
          <w:szCs w:val="32"/>
          <w:highlight w:val="none"/>
        </w:rPr>
        <w:drawing>
          <wp:inline distT="0" distB="0" distL="114300" distR="114300">
            <wp:extent cx="5256530" cy="2988310"/>
            <wp:effectExtent l="5080" t="4445" r="8890"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（三）财政拨款支出决算结构情况</w:t>
      </w:r>
    </w:p>
    <w:p>
      <w:pPr>
        <w:widowControl/>
        <w:spacing w:before="0" w:beforeLines="0" w:beforeAutospacing="0" w:after="0" w:afterLines="0" w:afterAutospacing="0" w:line="360" w:lineRule="auto"/>
        <w:ind w:firstLine="200" w:firstLineChars="200"/>
        <w:jc w:val="left"/>
        <w:rPr>
          <w:rFonts w:hint="eastAsia" w:ascii="Times New Roman" w:eastAsia="仿宋_GB2312"/>
          <w:b w:val="0"/>
          <w:sz w:val="32"/>
          <w:szCs w:val="32"/>
        </w:rPr>
      </w:pPr>
      <w:r>
        <w:rPr>
          <w:rFonts w:ascii="Times New Roman" w:eastAsia="仿宋_GB2312"/>
          <w:b w:val="0"/>
          <w:sz w:val="32"/>
          <w:szCs w:val="32"/>
        </w:rPr>
        <w:t>2024年度财政拨款支出4,817.94万元，</w:t>
      </w:r>
      <w:r>
        <w:rPr>
          <w:rFonts w:hint="eastAsia" w:ascii="Times New Roman" w:eastAsia="仿宋_GB2312"/>
          <w:b w:val="0"/>
          <w:sz w:val="32"/>
          <w:szCs w:val="32"/>
        </w:rPr>
        <w:t>全部为一般公共预算</w:t>
      </w:r>
    </w:p>
    <w:p>
      <w:pPr>
        <w:widowControl/>
        <w:spacing w:before="0" w:beforeLines="0" w:beforeAutospacing="0" w:after="0" w:afterLines="0" w:afterAutospacing="0" w:line="360" w:lineRule="auto"/>
        <w:jc w:val="left"/>
        <w:rPr>
          <w:rFonts w:ascii="Times New Roman" w:eastAsia="仿宋_GB2312"/>
          <w:sz w:val="32"/>
          <w:szCs w:val="32"/>
        </w:rPr>
      </w:pPr>
      <w:r>
        <w:rPr>
          <w:rFonts w:hint="eastAsia" w:ascii="Times New Roman" w:eastAsia="仿宋_GB2312"/>
          <w:b w:val="0"/>
          <w:sz w:val="32"/>
          <w:szCs w:val="32"/>
        </w:rPr>
        <w:t>财政拨款支出，</w:t>
      </w:r>
      <w:r>
        <w:rPr>
          <w:rFonts w:ascii="Times New Roman" w:eastAsia="仿宋_GB2312"/>
          <w:b w:val="0"/>
          <w:sz w:val="32"/>
          <w:szCs w:val="32"/>
        </w:rPr>
        <w:t>主要用于以下方面：</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一般公共服务（类）支出3,444.28万元，占71.5%，主要用于</w:t>
      </w:r>
      <w:r>
        <w:rPr>
          <w:rFonts w:hint="eastAsia" w:ascii="Times New Roman" w:eastAsia="仿宋_GB2312"/>
          <w:b w:val="0"/>
          <w:sz w:val="32"/>
          <w:szCs w:val="32"/>
        </w:rPr>
        <w:t>人员工资、津贴补贴、日常公用经费、以及其他财政事务等支出</w:t>
      </w:r>
      <w:r>
        <w:rPr>
          <w:rFonts w:ascii="Times New Roman" w:eastAsia="仿宋_GB2312"/>
          <w:b w:val="0"/>
          <w:sz w:val="32"/>
          <w:szCs w:val="32"/>
        </w:rPr>
        <w:t>等支出；社会保障和就业（类）支出823.49万元，占17.1%，主要用于</w:t>
      </w:r>
      <w:r>
        <w:rPr>
          <w:rFonts w:hint="eastAsia" w:ascii="Times New Roman" w:eastAsia="仿宋_GB2312"/>
          <w:b w:val="0"/>
          <w:sz w:val="32"/>
          <w:szCs w:val="32"/>
        </w:rPr>
        <w:t>离退休人员经费、职工基本养老保险等人员经费支出</w:t>
      </w:r>
      <w:r>
        <w:rPr>
          <w:rFonts w:ascii="Times New Roman" w:eastAsia="仿宋_GB2312"/>
          <w:b w:val="0"/>
          <w:sz w:val="32"/>
          <w:szCs w:val="32"/>
        </w:rPr>
        <w:t>等支出；卫生健康（类）支出187.72万元，占3.9%，主要用于</w:t>
      </w:r>
      <w:r>
        <w:rPr>
          <w:rFonts w:hint="eastAsia" w:ascii="Times New Roman" w:eastAsia="仿宋_GB2312"/>
          <w:b w:val="0"/>
          <w:sz w:val="32"/>
          <w:szCs w:val="32"/>
        </w:rPr>
        <w:t>于职工医疗保险等人员经费</w:t>
      </w:r>
      <w:r>
        <w:rPr>
          <w:rFonts w:ascii="Times New Roman" w:eastAsia="仿宋_GB2312"/>
          <w:b w:val="0"/>
          <w:sz w:val="32"/>
          <w:szCs w:val="32"/>
        </w:rPr>
        <w:t>等支出；住房保障（类）支出362.45万元，占7.5%，主要用于</w:t>
      </w:r>
      <w:r>
        <w:rPr>
          <w:rFonts w:hint="eastAsia" w:ascii="Times New Roman" w:eastAsia="仿宋_GB2312"/>
          <w:b w:val="0"/>
          <w:sz w:val="32"/>
          <w:szCs w:val="32"/>
        </w:rPr>
        <w:t>职工住房公积金等人员经费</w:t>
      </w:r>
      <w:r>
        <w:rPr>
          <w:rFonts w:ascii="Times New Roman" w:eastAsia="仿宋_GB2312"/>
          <w:b w:val="0"/>
          <w:sz w:val="32"/>
          <w:szCs w:val="32"/>
        </w:rPr>
        <w:t>等支出</w:t>
      </w:r>
      <w:r>
        <w:rPr>
          <w:rFonts w:hint="eastAsia" w:ascii="Times New Roman" w:eastAsia="仿宋_GB2312"/>
          <w:b w:val="0"/>
          <w:sz w:val="32"/>
          <w:szCs w:val="32"/>
          <w:lang w:eastAsia="zh-CN"/>
        </w:rPr>
        <w:t>。</w:t>
      </w:r>
    </w:p>
    <w:p>
      <w:pPr>
        <w:pStyle w:val="1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ind w:left="0" w:right="0"/>
        <w:jc w:val="left"/>
        <w:textAlignment w:val="auto"/>
        <w:rPr>
          <w:rFonts w:hint="default" w:ascii="Times New Roman" w:hAnsi="Times New Roman" w:eastAsia="仿宋_GB2312" w:cs="Times New Roman"/>
          <w:color w:val="auto"/>
          <w:kern w:val="2"/>
          <w:sz w:val="32"/>
          <w:szCs w:val="32"/>
          <w:lang w:val="zh-CN" w:eastAsia="zh-CN" w:bidi="ar-SA"/>
        </w:rPr>
      </w:pPr>
      <w:r>
        <w:rPr>
          <w:rFonts w:ascii="Times New Roman" w:hAnsi="Times New Roman" w:eastAsia="仿宋_GB2312"/>
          <w:kern w:val="2"/>
          <w:sz w:val="32"/>
          <w:szCs w:val="32"/>
          <w:lang w:val="zh-CN"/>
        </w:rPr>
        <w:drawing>
          <wp:inline distT="0" distB="0" distL="114300" distR="114300">
            <wp:extent cx="5859145" cy="2988310"/>
            <wp:effectExtent l="5080" t="4445" r="15875"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（四）一般公共预算基本支出决算情况说明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2024年度财政拨款基本支出3,896.62万元，其中：</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人员经费3,578.97万元，主要包括基本工资、津贴补贴、奖金、伙食补助费、绩效工资、机关事业</w:t>
      </w:r>
      <w:r>
        <w:rPr>
          <w:rFonts w:hint="eastAsia" w:ascii="Times New Roman" w:eastAsia="仿宋_GB2312"/>
          <w:b w:val="0"/>
          <w:sz w:val="32"/>
          <w:szCs w:val="32"/>
          <w:lang w:eastAsia="zh-CN"/>
        </w:rPr>
        <w:t>单位</w:t>
      </w:r>
      <w:r>
        <w:rPr>
          <w:rFonts w:ascii="Times New Roman" w:eastAsia="仿宋_GB2312"/>
          <w:b w:val="0"/>
          <w:sz w:val="32"/>
          <w:szCs w:val="32"/>
        </w:rPr>
        <w:t>基本养老保险缴费、职业年金缴费、职工基本医疗保险缴费、公务员医疗补助缴费、住房公积金、医疗费、其他社会保障缴费、其他工资福利支出、离休费、退休费、抚恤金、生活补助、医疗费补助、奖励金、其他对个人和家庭的补助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公用经费317.65万元，主要包括办公费、印刷费、手续费、邮电费、差旅费、维修（护）费、租赁费、会议费、培训费、公务接待费、委托业务费、工会经费、福利费、公务用车运行维护费、其他交通费用</w:t>
      </w:r>
      <w:r>
        <w:rPr>
          <w:rFonts w:hint="eastAsia" w:ascii="Times New Roman" w:eastAsia="仿宋_GB2312"/>
          <w:b w:val="0"/>
          <w:sz w:val="32"/>
          <w:szCs w:val="32"/>
          <w:lang w:eastAsia="zh-CN"/>
        </w:rPr>
        <w:t>、</w:t>
      </w:r>
      <w:r>
        <w:rPr>
          <w:rFonts w:ascii="Times New Roman" w:eastAsia="仿宋_GB2312"/>
          <w:b w:val="0"/>
          <w:sz w:val="32"/>
          <w:szCs w:val="32"/>
        </w:rPr>
        <w:t>其他商品和服务支出。</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五、财政拨款“三公”经费支出决算情况说明</w:t>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（一）“三公”经费财政拨款支出决算总体情况说明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本单位2024年度“三公”经费财政拨款支出预算为8.20万元，支出决算为2.52万元，完成预算的30.7%，较预算减少5.68万元，降低69.3%，主要原因是</w:t>
      </w:r>
      <w:r>
        <w:rPr>
          <w:rFonts w:hint="eastAsia" w:ascii="Times New Roman" w:eastAsia="仿宋_GB2312"/>
          <w:b w:val="0"/>
          <w:sz w:val="32"/>
          <w:szCs w:val="32"/>
        </w:rPr>
        <w:t>是公务用车运行维护费和公务接待费较预算减少；</w:t>
      </w:r>
      <w:r>
        <w:rPr>
          <w:rFonts w:ascii="Times New Roman" w:eastAsia="仿宋_GB2312"/>
          <w:b w:val="0"/>
          <w:sz w:val="32"/>
          <w:szCs w:val="32"/>
        </w:rPr>
        <w:t>较2023年度决算减少4.94万元，降低66.2%，主要原因是</w:t>
      </w:r>
      <w:r>
        <w:rPr>
          <w:rFonts w:hint="eastAsia" w:ascii="FangSong_GB2312" w:hAnsi="FangSong_GB2312" w:eastAsia="FangSong_GB2312"/>
          <w:sz w:val="32"/>
        </w:rPr>
        <w:t>本年公务用车</w:t>
      </w:r>
      <w:r>
        <w:rPr>
          <w:rFonts w:hint="eastAsia" w:ascii="FangSong_GB2312" w:hAnsi="FangSong_GB2312" w:eastAsia="FangSong_GB2312"/>
          <w:sz w:val="32"/>
          <w:lang w:eastAsia="zh-CN"/>
        </w:rPr>
        <w:t>运维费减少</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rPr>
          <w:rFonts w:ascii="Times New Roman" w:eastAsia="楷体_GB2312"/>
          <w:sz w:val="32"/>
          <w:szCs w:val="32"/>
        </w:rPr>
      </w:pPr>
      <w:r>
        <w:rPr>
          <w:rFonts w:ascii="Times New Roman" w:eastAsia="楷体_GB2312"/>
          <w:b/>
          <w:sz w:val="32"/>
          <w:szCs w:val="32"/>
        </w:rPr>
        <w:t>（二）“三公”经费财政拨款支出决算具体情况说明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楷体_GB2312"/>
          <w:b/>
          <w:sz w:val="32"/>
          <w:szCs w:val="32"/>
        </w:rPr>
        <w:t>1.因公出国（境）费支出情况。</w:t>
      </w:r>
      <w:r>
        <w:rPr>
          <w:rFonts w:ascii="Times New Roman" w:eastAsia="仿宋_GB2312"/>
          <w:b w:val="0"/>
          <w:sz w:val="32"/>
          <w:szCs w:val="32"/>
        </w:rPr>
        <w:t>本单位2024年度因公出国（境）费支出预算为0.00万元,支出决算0.00万元。完成预算的0.0%。因公出国（境）费支出较预算增加0.00万元，增长0.0%,主要原因是；较上年增加0.00万元，增长0.00%,主要原因是。因公出国（境）团组0个、共0人、</w:t>
      </w:r>
      <w:r>
        <w:rPr>
          <w:rFonts w:ascii="Times New Roman" w:eastAsia="仿宋_GB2312"/>
          <w:b w:val="0"/>
          <w:color w:val="000000" w:themeColor="text1"/>
          <w:sz w:val="32"/>
          <w:szCs w:val="32"/>
          <w14:textFill>
            <w14:solidFill>
              <w14:schemeClr w14:val="tx1"/>
            </w14:solidFill>
          </w14:textFill>
        </w:rPr>
        <w:t>无</w:t>
      </w:r>
      <w:r>
        <w:rPr>
          <w:rFonts w:ascii="Times New Roman" w:eastAsia="仿宋_GB2312"/>
          <w:b w:val="0"/>
          <w:sz w:val="32"/>
          <w:szCs w:val="32"/>
        </w:rPr>
        <w:t>本</w:t>
      </w:r>
      <w:r>
        <w:rPr>
          <w:rFonts w:hint="eastAsia" w:ascii="Times New Roman" w:eastAsia="仿宋_GB2312"/>
          <w:b w:val="0"/>
          <w:sz w:val="32"/>
          <w:szCs w:val="32"/>
          <w:lang w:eastAsia="zh-CN"/>
        </w:rPr>
        <w:t>单位</w:t>
      </w:r>
      <w:r>
        <w:rPr>
          <w:rFonts w:ascii="Times New Roman" w:eastAsia="仿宋_GB2312"/>
          <w:b w:val="0"/>
          <w:sz w:val="32"/>
          <w:szCs w:val="32"/>
        </w:rPr>
        <w:t>组织的出国（境）团组。</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楷体_GB2312"/>
          <w:b/>
          <w:sz w:val="32"/>
          <w:szCs w:val="32"/>
        </w:rPr>
        <w:t>2.公务用车购置及运行维护费支出情况。</w:t>
      </w:r>
      <w:r>
        <w:rPr>
          <w:rFonts w:ascii="Times New Roman" w:eastAsia="仿宋_GB2312"/>
          <w:b w:val="0"/>
          <w:sz w:val="32"/>
          <w:szCs w:val="32"/>
        </w:rPr>
        <w:t>本单位2024年度公务用车购置及运行维护费预算为7.00万元，支出决算2.36万元，完成预算的33.7%,较预算减少4.64万元，降低66.3%,主要原因是；较上年减少5.11万元，降低68.4%,主要原因是。其中：</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公务用车购置费支出0.00万元：</w:t>
      </w:r>
      <w:r>
        <w:rPr>
          <w:rFonts w:ascii="Times New Roman" w:eastAsia="仿宋_GB2312"/>
          <w:b w:val="0"/>
          <w:sz w:val="32"/>
          <w:szCs w:val="32"/>
        </w:rPr>
        <w:t>本单位2024年度公务用车购置量0辆，发生“公务用车购置”经费支出0.00万元。公务用车购置费支出较预算</w:t>
      </w:r>
      <w:r>
        <w:rPr>
          <w:rFonts w:hint="eastAsia" w:ascii="Times New Roman" w:eastAsia="仿宋_GB2312"/>
          <w:b w:val="0"/>
          <w:sz w:val="32"/>
          <w:szCs w:val="32"/>
          <w:lang w:eastAsia="zh-CN"/>
        </w:rPr>
        <w:t>持平，</w:t>
      </w:r>
      <w:r>
        <w:rPr>
          <w:rFonts w:ascii="Times New Roman" w:eastAsia="仿宋_GB2312"/>
          <w:b w:val="0"/>
          <w:sz w:val="32"/>
          <w:szCs w:val="32"/>
        </w:rPr>
        <w:t>较上年</w:t>
      </w:r>
      <w:r>
        <w:rPr>
          <w:rFonts w:hint="eastAsia" w:ascii="Times New Roman" w:eastAsia="仿宋_GB2312"/>
          <w:b w:val="0"/>
          <w:sz w:val="32"/>
          <w:szCs w:val="32"/>
          <w:lang w:eastAsia="zh-CN"/>
        </w:rPr>
        <w:t>持平，</w:t>
      </w:r>
      <w:r>
        <w:rPr>
          <w:rFonts w:hint="eastAsia" w:ascii="FangSong_GB2312" w:hAnsi="FangSong_GB2312" w:eastAsia="FangSong_GB2312"/>
          <w:sz w:val="32"/>
        </w:rPr>
        <w:t>原因是本年</w:t>
      </w:r>
      <w:r>
        <w:rPr>
          <w:rFonts w:hint="eastAsia" w:ascii="FangSong_GB2312" w:hAnsi="FangSong_GB2312" w:eastAsia="FangSong_GB2312"/>
          <w:sz w:val="32"/>
          <w:lang w:eastAsia="zh-CN"/>
        </w:rPr>
        <w:t>无</w:t>
      </w:r>
      <w:r>
        <w:rPr>
          <w:rFonts w:hint="eastAsia" w:ascii="FangSong_GB2312" w:hAnsi="FangSong_GB2312" w:eastAsia="FangSong_GB2312"/>
          <w:sz w:val="32"/>
        </w:rPr>
        <w:t>公务用车购置费支出</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公务用车运行维护费支出2.36万元：</w:t>
      </w:r>
      <w:r>
        <w:rPr>
          <w:rFonts w:ascii="Times New Roman" w:eastAsia="仿宋_GB2312"/>
          <w:b w:val="0"/>
          <w:sz w:val="32"/>
          <w:szCs w:val="32"/>
        </w:rPr>
        <w:t>本单位2024年度单位公务用车保有量4辆，发生运行维护费支出2.36万元。公车运行维护费支出较预算减少4.64万元，降低66.3%,主要原因是；较上年减少5.11万元，降低68.4%，主要原因是</w:t>
      </w:r>
      <w:r>
        <w:rPr>
          <w:rFonts w:hint="eastAsia" w:ascii="Times New Roman" w:eastAsia="仿宋_GB2312"/>
          <w:b w:val="0"/>
          <w:sz w:val="32"/>
          <w:szCs w:val="32"/>
        </w:rPr>
        <w:t>加强公车管理，减少维护费用支出</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rPr>
          <w:rFonts w:hint="eastAsia" w:ascii="Times New Roman" w:eastAsia="仿宋_GB2312"/>
          <w:b w:val="0"/>
          <w:sz w:val="32"/>
          <w:szCs w:val="32"/>
        </w:rPr>
      </w:pPr>
      <w:r>
        <w:rPr>
          <w:rFonts w:ascii="Times New Roman" w:eastAsia="楷体_GB2312"/>
          <w:b/>
          <w:sz w:val="32"/>
          <w:szCs w:val="32"/>
        </w:rPr>
        <w:t>3.公务接待费支出情况。</w:t>
      </w:r>
      <w:r>
        <w:rPr>
          <w:rFonts w:ascii="Times New Roman" w:eastAsia="仿宋_GB2312"/>
          <w:b w:val="0"/>
          <w:sz w:val="32"/>
          <w:szCs w:val="32"/>
        </w:rPr>
        <w:t>本单位2024年度公务接待费支出预算为1.20万元，支出决算0.16万元，完成预算的13.3%。公务接待费支出较预算减少1.04万元，降低86.7%,主要原因是</w:t>
      </w:r>
      <w:r>
        <w:rPr>
          <w:rFonts w:hint="eastAsia" w:ascii="Times New Roman" w:eastAsia="仿宋_GB2312"/>
          <w:b w:val="0"/>
          <w:sz w:val="32"/>
          <w:szCs w:val="32"/>
        </w:rPr>
        <w:t>厉行节</w:t>
      </w:r>
    </w:p>
    <w:p>
      <w:pPr>
        <w:widowControl/>
        <w:spacing w:before="0" w:beforeLines="0" w:beforeAutospacing="0" w:after="0" w:afterLines="0" w:afterAutospacing="0" w:line="360" w:lineRule="auto"/>
        <w:jc w:val="left"/>
        <w:rPr>
          <w:rFonts w:ascii="Times New Roman" w:eastAsia="仿宋_GB2312"/>
          <w:sz w:val="32"/>
          <w:szCs w:val="32"/>
        </w:rPr>
      </w:pPr>
      <w:r>
        <w:rPr>
          <w:rFonts w:hint="eastAsia" w:ascii="Times New Roman" w:eastAsia="仿宋_GB2312"/>
          <w:b w:val="0"/>
          <w:sz w:val="32"/>
          <w:szCs w:val="32"/>
        </w:rPr>
        <w:t>约，减少支出；</w:t>
      </w:r>
      <w:r>
        <w:rPr>
          <w:rFonts w:ascii="Times New Roman" w:eastAsia="仿宋_GB2312"/>
          <w:b w:val="0"/>
          <w:sz w:val="32"/>
          <w:szCs w:val="32"/>
        </w:rPr>
        <w:t>较上年度增加0.16万元，增长100.00%,主要原因是</w:t>
      </w:r>
      <w:r>
        <w:rPr>
          <w:rFonts w:hint="eastAsia" w:ascii="Times New Roman" w:eastAsia="仿宋_GB2312"/>
          <w:b w:val="0"/>
          <w:sz w:val="32"/>
          <w:szCs w:val="32"/>
          <w:lang w:val="en-US" w:eastAsia="zh-CN"/>
        </w:rPr>
        <w:t>2023年无公务接待费支出</w:t>
      </w:r>
      <w:r>
        <w:rPr>
          <w:rFonts w:ascii="Times New Roman" w:eastAsia="仿宋_GB2312"/>
          <w:b w:val="0"/>
          <w:sz w:val="32"/>
          <w:szCs w:val="32"/>
        </w:rPr>
        <w:t>。本年度共发生公务接待1批次、4人次。</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六、机关运行经费支出说明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本单位2024年度机关运行经费支出317.65万元，较2023年度减少30.26万元，降低8.7%。主要原因是</w:t>
      </w:r>
      <w:r>
        <w:rPr>
          <w:rFonts w:hint="eastAsia" w:ascii="Times New Roman" w:eastAsia="仿宋_GB2312"/>
          <w:b w:val="0"/>
          <w:sz w:val="32"/>
          <w:szCs w:val="32"/>
          <w:lang w:eastAsia="zh-CN"/>
        </w:rPr>
        <w:t>根据财政“过紧日子”的要求，</w:t>
      </w:r>
      <w:r>
        <w:rPr>
          <w:rFonts w:hint="eastAsia" w:ascii="Times New Roman" w:eastAsia="仿宋_GB2312"/>
          <w:b w:val="0"/>
          <w:sz w:val="32"/>
          <w:szCs w:val="32"/>
        </w:rPr>
        <w:t>厉行节约，</w:t>
      </w:r>
      <w:r>
        <w:rPr>
          <w:rFonts w:hint="eastAsia" w:ascii="Times New Roman" w:eastAsia="仿宋_GB2312"/>
          <w:b w:val="0"/>
          <w:sz w:val="32"/>
          <w:szCs w:val="32"/>
          <w:lang w:eastAsia="zh-CN"/>
        </w:rPr>
        <w:t>提高效率，</w:t>
      </w:r>
      <w:r>
        <w:rPr>
          <w:rFonts w:hint="eastAsia" w:ascii="Times New Roman" w:eastAsia="仿宋_GB2312"/>
          <w:b w:val="0"/>
          <w:sz w:val="32"/>
          <w:szCs w:val="32"/>
        </w:rPr>
        <w:t>减少</w:t>
      </w:r>
      <w:r>
        <w:rPr>
          <w:rFonts w:hint="eastAsia" w:ascii="Times New Roman" w:eastAsia="仿宋_GB2312"/>
          <w:b w:val="0"/>
          <w:sz w:val="32"/>
          <w:szCs w:val="32"/>
          <w:lang w:eastAsia="zh-CN"/>
        </w:rPr>
        <w:t>机关运行经费的</w:t>
      </w:r>
      <w:r>
        <w:rPr>
          <w:rFonts w:hint="eastAsia" w:ascii="Times New Roman" w:eastAsia="仿宋_GB2312"/>
          <w:b w:val="0"/>
          <w:sz w:val="32"/>
          <w:szCs w:val="32"/>
        </w:rPr>
        <w:t>支出</w:t>
      </w:r>
      <w:r>
        <w:rPr>
          <w:rFonts w:ascii="Times New Roman" w:eastAsia="仿宋_GB2312"/>
          <w:b w:val="0"/>
          <w:sz w:val="32"/>
          <w:szCs w:val="32"/>
        </w:rPr>
        <w:t>。</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七、政府采购支出说明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本单位2024年度政府采购支出总额</w:t>
      </w:r>
      <w:r>
        <w:rPr>
          <w:rFonts w:hint="eastAsia" w:ascii="Times New Roman" w:eastAsia="仿宋_GB2312"/>
          <w:b w:val="0"/>
          <w:sz w:val="32"/>
          <w:szCs w:val="32"/>
          <w:lang w:val="en-US" w:eastAsia="zh-CN"/>
        </w:rPr>
        <w:t>322.87</w:t>
      </w:r>
      <w:r>
        <w:rPr>
          <w:rFonts w:ascii="Times New Roman" w:eastAsia="仿宋_GB2312"/>
          <w:b w:val="0"/>
          <w:sz w:val="32"/>
          <w:szCs w:val="32"/>
        </w:rPr>
        <w:t>万元，从采购类型来看，政府采购货物支出</w:t>
      </w:r>
      <w:r>
        <w:rPr>
          <w:rFonts w:hint="eastAsia" w:ascii="Times New Roman" w:eastAsia="仿宋_GB2312"/>
          <w:b w:val="0"/>
          <w:sz w:val="32"/>
          <w:szCs w:val="32"/>
          <w:lang w:val="en-US" w:eastAsia="zh-CN"/>
        </w:rPr>
        <w:t>122.29</w:t>
      </w:r>
      <w:r>
        <w:rPr>
          <w:rFonts w:ascii="Times New Roman" w:eastAsia="仿宋_GB2312"/>
          <w:b w:val="0"/>
          <w:sz w:val="32"/>
          <w:szCs w:val="32"/>
        </w:rPr>
        <w:t>万元、政府采购工程支出0.00万元、政府采购服务支出</w:t>
      </w:r>
      <w:r>
        <w:rPr>
          <w:rFonts w:hint="eastAsia" w:ascii="Times New Roman" w:eastAsia="仿宋_GB2312"/>
          <w:b w:val="0"/>
          <w:sz w:val="32"/>
          <w:szCs w:val="32"/>
          <w:lang w:val="en-US" w:eastAsia="zh-CN"/>
        </w:rPr>
        <w:t>200.58</w:t>
      </w:r>
      <w:r>
        <w:rPr>
          <w:rFonts w:ascii="Times New Roman" w:eastAsia="仿宋_GB2312"/>
          <w:b w:val="0"/>
          <w:sz w:val="32"/>
          <w:szCs w:val="32"/>
        </w:rPr>
        <w:t>万元。授予中小企业合同金额</w:t>
      </w:r>
      <w:r>
        <w:rPr>
          <w:rFonts w:hint="eastAsia" w:ascii="Times New Roman" w:eastAsia="仿宋_GB2312"/>
          <w:b w:val="0"/>
          <w:sz w:val="32"/>
          <w:szCs w:val="32"/>
          <w:lang w:val="en-US" w:eastAsia="zh-CN"/>
        </w:rPr>
        <w:t>322.87</w:t>
      </w:r>
      <w:r>
        <w:rPr>
          <w:rFonts w:ascii="Times New Roman" w:eastAsia="仿宋_GB2312"/>
          <w:b w:val="0"/>
          <w:sz w:val="32"/>
          <w:szCs w:val="32"/>
        </w:rPr>
        <w:t>万元，占政府采购支出总额的100.0%，其中授予小微企业合同金额</w:t>
      </w:r>
      <w:r>
        <w:rPr>
          <w:rFonts w:hint="eastAsia" w:ascii="Times New Roman" w:eastAsia="仿宋_GB2312"/>
          <w:b w:val="0"/>
          <w:sz w:val="32"/>
          <w:szCs w:val="32"/>
          <w:lang w:val="en-US" w:eastAsia="zh-CN"/>
        </w:rPr>
        <w:t>322.87</w:t>
      </w:r>
      <w:r>
        <w:rPr>
          <w:rFonts w:ascii="Times New Roman" w:eastAsia="仿宋_GB2312"/>
          <w:b w:val="0"/>
          <w:sz w:val="32"/>
          <w:szCs w:val="32"/>
        </w:rPr>
        <w:t>万元，占政府采购支出总额的100.0%。</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八、国有资产占用情况说明</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ascii="Times New Roman" w:eastAsia="仿宋_GB2312"/>
          <w:sz w:val="32"/>
          <w:szCs w:val="32"/>
        </w:rPr>
      </w:pPr>
      <w:r>
        <w:rPr>
          <w:rFonts w:ascii="Times New Roman" w:eastAsia="仿宋_GB2312"/>
          <w:b w:val="0"/>
          <w:sz w:val="32"/>
          <w:szCs w:val="32"/>
        </w:rPr>
        <w:t>截至2024年12月31日，本单位共有车辆4辆，</w:t>
      </w:r>
      <w:r>
        <w:rPr>
          <w:rFonts w:hint="eastAsia" w:ascii="FangSong_GB2312" w:hAnsi="FangSong_GB2312" w:eastAsia="FangSong_GB2312"/>
          <w:sz w:val="32"/>
        </w:rPr>
        <w:t>比上年无增减变化</w:t>
      </w:r>
      <w:r>
        <w:rPr>
          <w:rFonts w:ascii="Times New Roman" w:eastAsia="仿宋_GB2312"/>
          <w:b w:val="0"/>
          <w:sz w:val="32"/>
          <w:szCs w:val="32"/>
        </w:rPr>
        <w:t>。其中，副部（省）级及以上领导用车0辆，主要负责人用车0辆，机要通信用车1辆，应急保障用车1辆，执法执勤用车0辆，特种专业技术用车0辆，离退休干部用车2辆，其他用车0辆。单位价值100万元（含）以上设备（不含车辆）1台（套）。</w:t>
      </w:r>
    </w:p>
    <w:p>
      <w:pPr>
        <w:widowControl/>
        <w:spacing w:before="0" w:beforeLines="0" w:beforeAutospacing="0" w:after="0" w:afterLines="0" w:afterAutospacing="0" w:line="360" w:lineRule="auto"/>
        <w:ind w:firstLine="200" w:firstLineChars="200"/>
        <w:jc w:val="left"/>
        <w:outlineLvl w:val="1"/>
        <w:rPr>
          <w:rFonts w:ascii="Times New Roman" w:eastAsia="黑体"/>
          <w:sz w:val="32"/>
          <w:szCs w:val="32"/>
        </w:rPr>
      </w:pPr>
      <w:r>
        <w:rPr>
          <w:rFonts w:ascii="Times New Roman" w:eastAsia="黑体"/>
          <w:b w:val="0"/>
          <w:sz w:val="32"/>
          <w:szCs w:val="32"/>
        </w:rPr>
        <w:t>九、关于2024年度绩效评价情况的说明</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（一）绩效评价工作开展情况</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ascii="Times New Roman" w:eastAsia="仿宋_GB2312"/>
          <w:sz w:val="32"/>
          <w:szCs w:val="32"/>
        </w:rPr>
      </w:pPr>
      <w:r>
        <w:rPr>
          <w:rFonts w:ascii="Times New Roman" w:eastAsia="仿宋_GB2312"/>
          <w:b w:val="0"/>
          <w:sz w:val="32"/>
          <w:szCs w:val="32"/>
        </w:rPr>
        <w:t>根据预算绩效管理要求，本单位组织对2024年度本级预算项目支出全面开展绩效自评，共涉及资金</w:t>
      </w:r>
      <w:r>
        <w:rPr>
          <w:rFonts w:hint="eastAsia" w:ascii="仿宋_GB2312" w:hAnsi="仿宋" w:eastAsia="仿宋_GB2312" w:cs="黑体"/>
          <w:color w:val="auto"/>
          <w:sz w:val="32"/>
          <w:szCs w:val="32"/>
          <w:lang w:val="en-US" w:eastAsia="zh-CN"/>
        </w:rPr>
        <w:t>922.51</w:t>
      </w:r>
      <w:r>
        <w:rPr>
          <w:rFonts w:ascii="Times New Roman" w:eastAsia="仿宋_GB2312"/>
          <w:b w:val="0"/>
          <w:sz w:val="32"/>
          <w:szCs w:val="32"/>
        </w:rPr>
        <w:t>万元（决算金额）。其中，一般公共预算项目</w:t>
      </w:r>
      <w:r>
        <w:rPr>
          <w:rFonts w:hint="eastAsia" w:ascii="Times New Roman" w:eastAsia="仿宋_GB2312"/>
          <w:b w:val="0"/>
          <w:sz w:val="32"/>
          <w:szCs w:val="32"/>
          <w:lang w:val="en-US" w:eastAsia="zh-CN"/>
        </w:rPr>
        <w:t>9</w:t>
      </w:r>
      <w:r>
        <w:rPr>
          <w:rFonts w:ascii="Times New Roman" w:eastAsia="仿宋_GB2312"/>
          <w:b w:val="0"/>
          <w:sz w:val="32"/>
          <w:szCs w:val="32"/>
        </w:rPr>
        <w:t>个，涉及资金</w:t>
      </w:r>
      <w:r>
        <w:rPr>
          <w:rFonts w:hint="eastAsia" w:ascii="仿宋_GB2312" w:hAnsi="仿宋" w:eastAsia="仿宋_GB2312" w:cs="黑体"/>
          <w:color w:val="auto"/>
          <w:sz w:val="32"/>
          <w:szCs w:val="32"/>
          <w:lang w:val="en-US" w:eastAsia="zh-CN"/>
        </w:rPr>
        <w:t>922.51</w:t>
      </w:r>
      <w:r>
        <w:rPr>
          <w:rFonts w:ascii="Times New Roman" w:eastAsia="仿宋_GB2312"/>
          <w:b w:val="0"/>
          <w:sz w:val="32"/>
          <w:szCs w:val="32"/>
        </w:rPr>
        <w:t>万元，占一般公共预算项目支出总额的</w:t>
      </w:r>
      <w:r>
        <w:rPr>
          <w:rFonts w:hint="eastAsia" w:ascii="Times New Roman" w:eastAsia="仿宋_GB2312"/>
          <w:b w:val="0"/>
          <w:sz w:val="32"/>
          <w:szCs w:val="32"/>
          <w:lang w:val="en-US" w:eastAsia="zh-CN"/>
        </w:rPr>
        <w:t>100</w:t>
      </w:r>
      <w:r>
        <w:rPr>
          <w:rFonts w:ascii="Times New Roman" w:eastAsia="仿宋_GB2312"/>
          <w:b w:val="0"/>
          <w:sz w:val="32"/>
          <w:szCs w:val="32"/>
        </w:rPr>
        <w:t>%；政府性基金预算项目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w:t>
      </w:r>
      <w:r>
        <w:rPr>
          <w:rFonts w:ascii="Times New Roman" w:eastAsia="仿宋_GB2312"/>
          <w:b w:val="0"/>
          <w:sz w:val="32"/>
          <w:szCs w:val="32"/>
        </w:rPr>
        <w:t>万元，占政府性基金预算项目支出总额的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%；国有资本经营预算项目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w:t>
      </w:r>
      <w:r>
        <w:rPr>
          <w:rFonts w:ascii="Times New Roman" w:eastAsia="仿宋_GB2312"/>
          <w:b w:val="0"/>
          <w:sz w:val="32"/>
          <w:szCs w:val="32"/>
        </w:rPr>
        <w:t>万元，占国有资本经营预算项目支出总额的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ascii="Times New Roman" w:eastAsia="仿宋_GB2312"/>
          <w:b w:val="0"/>
          <w:sz w:val="32"/>
          <w:szCs w:val="32"/>
        </w:rPr>
      </w:pPr>
      <w:r>
        <w:rPr>
          <w:rFonts w:ascii="Times New Roman" w:eastAsia="仿宋_GB2312"/>
          <w:b w:val="0"/>
          <w:sz w:val="32"/>
          <w:szCs w:val="32"/>
        </w:rPr>
        <w:t>组织对</w:t>
      </w:r>
      <w:bookmarkStart w:id="0" w:name="_GoBack"/>
      <w:bookmarkEnd w:id="0"/>
      <w:r>
        <w:rPr>
          <w:rFonts w:hint="eastAsia" w:ascii="仿宋_GB2312" w:eastAsia="仿宋_GB2312"/>
          <w:sz w:val="32"/>
          <w:szCs w:val="32"/>
        </w:rPr>
        <w:t>提前下达2024年中央审计人员培训专项补助经费项目等1</w:t>
      </w:r>
      <w:r>
        <w:rPr>
          <w:rFonts w:ascii="Times New Roman" w:eastAsia="仿宋_GB2312"/>
          <w:b w:val="0"/>
          <w:sz w:val="32"/>
          <w:szCs w:val="32"/>
        </w:rPr>
        <w:t>个项目开展了</w:t>
      </w:r>
      <w:r>
        <w:rPr>
          <w:rFonts w:hint="eastAsia" w:ascii="Times New Roman" w:eastAsia="仿宋_GB2312"/>
          <w:b w:val="0"/>
          <w:sz w:val="32"/>
          <w:szCs w:val="32"/>
          <w:lang w:eastAsia="zh-CN"/>
        </w:rPr>
        <w:t>单位</w:t>
      </w:r>
      <w:r>
        <w:rPr>
          <w:rFonts w:ascii="Times New Roman" w:eastAsia="仿宋_GB2312"/>
          <w:b w:val="0"/>
          <w:sz w:val="32"/>
          <w:szCs w:val="32"/>
        </w:rPr>
        <w:t>重点评价，涉及一般公共预算支出</w:t>
      </w:r>
      <w:r>
        <w:rPr>
          <w:rFonts w:hint="eastAsia" w:ascii="Times New Roman" w:eastAsia="仿宋_GB2312"/>
          <w:b w:val="0"/>
          <w:sz w:val="32"/>
          <w:szCs w:val="32"/>
          <w:lang w:val="en-US" w:eastAsia="zh-CN"/>
        </w:rPr>
        <w:t>20</w:t>
      </w:r>
      <w:r>
        <w:rPr>
          <w:rFonts w:ascii="Times New Roman" w:eastAsia="仿宋_GB2312"/>
          <w:b w:val="0"/>
          <w:sz w:val="32"/>
          <w:szCs w:val="32"/>
        </w:rPr>
        <w:t>万元，政府性基金预算支出</w:t>
      </w:r>
      <w:r>
        <w:rPr>
          <w:rFonts w:hint="eastAsia" w:ascii="Times New Roman" w:eastAsia="仿宋_GB2312"/>
          <w:b w:val="0"/>
          <w:sz w:val="32"/>
          <w:szCs w:val="32"/>
          <w:lang w:val="en-US" w:eastAsia="zh-CN"/>
        </w:rPr>
        <w:t>0</w:t>
      </w:r>
      <w:r>
        <w:rPr>
          <w:rFonts w:ascii="Times New Roman" w:eastAsia="仿宋_GB2312"/>
          <w:b w:val="0"/>
          <w:sz w:val="32"/>
          <w:szCs w:val="32"/>
        </w:rPr>
        <w:t>万元，国有资本经营预算支出</w:t>
      </w:r>
      <w:r>
        <w:rPr>
          <w:rFonts w:hint="eastAsia" w:ascii="Times New Roman" w:eastAsia="仿宋_GB2312"/>
          <w:b w:val="0"/>
          <w:sz w:val="32"/>
          <w:szCs w:val="32"/>
          <w:lang w:val="en-US" w:eastAsia="zh-CN"/>
        </w:rPr>
        <w:t>0</w:t>
      </w:r>
      <w:r>
        <w:rPr>
          <w:rFonts w:ascii="Times New Roman" w:eastAsia="仿宋_GB2312"/>
          <w:b w:val="0"/>
          <w:sz w:val="32"/>
          <w:szCs w:val="32"/>
        </w:rPr>
        <w:t>万元，从评价情况来看，</w:t>
      </w:r>
      <w:r>
        <w:rPr>
          <w:rFonts w:hint="eastAsia" w:ascii="仿宋_GB2312" w:eastAsia="仿宋_GB2312"/>
          <w:sz w:val="32"/>
          <w:szCs w:val="32"/>
          <w:lang w:val="en-US" w:eastAsia="zh-CN"/>
        </w:rPr>
        <w:t>实际支出资金20万元，预算执行率100%，产出指标、效益指标、满意度指标均圆满完成，资金使用依法合规，专款专用，支出内容和方向正确，符合规定要求.</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ascii="Times New Roman" w:eastAsia="仿宋_GB2312"/>
          <w:sz w:val="32"/>
          <w:szCs w:val="32"/>
        </w:rPr>
      </w:pPr>
      <w:r>
        <w:rPr>
          <w:rFonts w:ascii="Times New Roman" w:eastAsia="仿宋_GB2312"/>
          <w:b/>
          <w:sz w:val="32"/>
          <w:szCs w:val="32"/>
        </w:rPr>
        <w:t>（二）</w:t>
      </w:r>
      <w:r>
        <w:rPr>
          <w:rFonts w:hint="eastAsia" w:ascii="Times New Roman" w:eastAsia="仿宋_GB2312"/>
          <w:b/>
          <w:sz w:val="32"/>
          <w:szCs w:val="32"/>
          <w:lang w:eastAsia="zh-CN"/>
        </w:rPr>
        <w:t>单位</w:t>
      </w:r>
      <w:r>
        <w:rPr>
          <w:rFonts w:ascii="Times New Roman" w:eastAsia="仿宋_GB2312"/>
          <w:b/>
          <w:sz w:val="32"/>
          <w:szCs w:val="32"/>
        </w:rPr>
        <w:t>决算中项目绩效自评结果</w:t>
      </w:r>
    </w:p>
    <w:p>
      <w:pPr>
        <w:keepNext w:val="0"/>
        <w:keepLines w:val="0"/>
        <w:pageBreakBefore w:val="0"/>
        <w:widowControl/>
        <w:kinsoku/>
        <w:wordWrap/>
        <w:overflowPunct/>
        <w:topLinePunct w:val="0"/>
        <w:autoSpaceDE/>
        <w:autoSpaceDN/>
        <w:bidi w:val="0"/>
        <w:adjustRightInd/>
        <w:spacing w:before="0" w:beforeLines="0" w:beforeAutospacing="0" w:after="0" w:afterLines="0" w:afterAutospacing="0" w:line="240" w:lineRule="auto"/>
        <w:ind w:left="0" w:leftChars="0" w:right="0" w:rightChars="0" w:firstLine="200" w:firstLineChars="200"/>
        <w:jc w:val="left"/>
        <w:textAlignment w:val="auto"/>
        <w:rPr>
          <w:rFonts w:hint="eastAsia" w:ascii="Times New Roman" w:hAnsi="Times New Roman" w:eastAsia="仿宋_GB2312" w:cs="Times New Roman"/>
          <w:sz w:val="32"/>
          <w:szCs w:val="32"/>
          <w:lang w:eastAsia="zh-CN"/>
        </w:rPr>
      </w:pPr>
      <w:r>
        <w:rPr>
          <w:rFonts w:ascii="Times New Roman" w:hAnsi="Times New Roman" w:eastAsia="仿宋_GB2312" w:cs="Times New Roman"/>
          <w:sz w:val="32"/>
          <w:szCs w:val="32"/>
        </w:rPr>
        <w:t>本</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在今年</w:t>
      </w:r>
      <w:r>
        <w:rPr>
          <w:rFonts w:hint="eastAsia" w:ascii="Times New Roman" w:hAnsi="Times New Roman" w:eastAsia="仿宋_GB2312" w:cs="Times New Roman"/>
          <w:sz w:val="32"/>
          <w:szCs w:val="32"/>
          <w:lang w:eastAsia="zh-CN"/>
        </w:rPr>
        <w:t>单位</w:t>
      </w:r>
      <w:r>
        <w:rPr>
          <w:rFonts w:ascii="Times New Roman" w:hAnsi="Times New Roman" w:eastAsia="仿宋_GB2312" w:cs="Times New Roman"/>
          <w:sz w:val="32"/>
          <w:szCs w:val="32"/>
        </w:rPr>
        <w:t>决算公开中反映</w:t>
      </w:r>
      <w:r>
        <w:rPr>
          <w:rFonts w:hint="eastAsia" w:ascii="仿宋_GB2312" w:hAnsi="仿宋" w:eastAsia="仿宋_GB2312" w:cs="黑体"/>
          <w:color w:val="auto"/>
          <w:sz w:val="32"/>
          <w:szCs w:val="32"/>
        </w:rPr>
        <w:t>审计执法经费、数据流量和处理费、聘用审计专业人员劳务费用、提前下达202</w:t>
      </w:r>
      <w:r>
        <w:rPr>
          <w:rFonts w:hint="eastAsia" w:ascii="仿宋_GB2312" w:hAnsi="仿宋" w:eastAsia="仿宋_GB2312" w:cs="黑体"/>
          <w:color w:val="auto"/>
          <w:sz w:val="32"/>
          <w:szCs w:val="32"/>
          <w:lang w:val="en-US" w:eastAsia="zh-CN"/>
        </w:rPr>
        <w:t>4</w:t>
      </w:r>
      <w:r>
        <w:rPr>
          <w:rFonts w:hint="eastAsia" w:ascii="仿宋_GB2312" w:hAnsi="仿宋" w:eastAsia="仿宋_GB2312" w:cs="黑体"/>
          <w:color w:val="auto"/>
          <w:sz w:val="32"/>
          <w:szCs w:val="32"/>
        </w:rPr>
        <w:t>年中央审计</w:t>
      </w:r>
      <w:r>
        <w:rPr>
          <w:rFonts w:hint="eastAsia" w:ascii="仿宋_GB2312" w:hAnsi="仿宋" w:eastAsia="仿宋_GB2312" w:cs="黑体"/>
          <w:color w:val="auto"/>
          <w:sz w:val="32"/>
          <w:szCs w:val="32"/>
          <w:lang w:eastAsia="zh-CN"/>
        </w:rPr>
        <w:t>人员培训</w:t>
      </w:r>
      <w:r>
        <w:rPr>
          <w:rFonts w:hint="eastAsia" w:ascii="仿宋_GB2312" w:hAnsi="仿宋" w:eastAsia="仿宋_GB2312" w:cs="黑体"/>
          <w:color w:val="auto"/>
          <w:sz w:val="32"/>
          <w:szCs w:val="32"/>
        </w:rPr>
        <w:t>专项补助经费</w:t>
      </w:r>
      <w:r>
        <w:rPr>
          <w:rFonts w:hint="eastAsia" w:ascii="仿宋_GB2312" w:hAnsi="仿宋" w:eastAsia="仿宋_GB2312" w:cs="黑体"/>
          <w:color w:val="auto"/>
          <w:sz w:val="32"/>
          <w:szCs w:val="32"/>
          <w:lang w:eastAsia="zh-CN"/>
        </w:rPr>
        <w:t>、</w:t>
      </w:r>
      <w:r>
        <w:rPr>
          <w:rFonts w:hint="eastAsia" w:ascii="仿宋_GB2312" w:hAnsi="仿宋" w:eastAsia="仿宋_GB2312" w:cs="黑体"/>
          <w:color w:val="auto"/>
          <w:sz w:val="32"/>
          <w:szCs w:val="32"/>
        </w:rPr>
        <w:t>提前下达202</w:t>
      </w:r>
      <w:r>
        <w:rPr>
          <w:rFonts w:hint="eastAsia" w:ascii="仿宋_GB2312" w:hAnsi="仿宋" w:eastAsia="仿宋_GB2312" w:cs="黑体"/>
          <w:color w:val="auto"/>
          <w:sz w:val="32"/>
          <w:szCs w:val="32"/>
          <w:lang w:val="en-US" w:eastAsia="zh-CN"/>
        </w:rPr>
        <w:t>4</w:t>
      </w:r>
      <w:r>
        <w:rPr>
          <w:rFonts w:hint="eastAsia" w:ascii="仿宋_GB2312" w:hAnsi="仿宋" w:eastAsia="仿宋_GB2312" w:cs="黑体"/>
          <w:color w:val="auto"/>
          <w:sz w:val="32"/>
          <w:szCs w:val="32"/>
        </w:rPr>
        <w:t>年</w:t>
      </w:r>
      <w:r>
        <w:rPr>
          <w:rFonts w:hint="eastAsia" w:ascii="仿宋_GB2312" w:hAnsi="仿宋" w:eastAsia="仿宋_GB2312" w:cs="黑体"/>
          <w:color w:val="auto"/>
          <w:sz w:val="32"/>
          <w:szCs w:val="32"/>
          <w:lang w:eastAsia="zh-CN"/>
        </w:rPr>
        <w:t>信息系统运行维护专项补助</w:t>
      </w:r>
      <w:r>
        <w:rPr>
          <w:rFonts w:hint="eastAsia" w:ascii="仿宋_GB2312" w:hAnsi="仿宋" w:eastAsia="仿宋_GB2312" w:cs="黑体"/>
          <w:color w:val="auto"/>
          <w:sz w:val="32"/>
          <w:szCs w:val="32"/>
        </w:rPr>
        <w:t>经费</w:t>
      </w:r>
      <w:r>
        <w:rPr>
          <w:rFonts w:hint="eastAsia" w:ascii="仿宋_GB2312" w:hAnsi="仿宋" w:eastAsia="仿宋_GB2312" w:cs="黑体"/>
          <w:color w:val="auto"/>
          <w:sz w:val="32"/>
          <w:szCs w:val="32"/>
          <w:lang w:eastAsia="zh-CN"/>
        </w:rPr>
        <w:t>、</w:t>
      </w:r>
      <w:r>
        <w:rPr>
          <w:rFonts w:hint="eastAsia" w:ascii="仿宋_GB2312" w:hAnsi="仿宋" w:eastAsia="仿宋_GB2312" w:cs="黑体"/>
          <w:color w:val="auto"/>
          <w:sz w:val="32"/>
          <w:szCs w:val="32"/>
        </w:rPr>
        <w:t>法律咨询服务费、党组织活动经费、办公楼租赁及物业管理费、办公设备购置</w:t>
      </w:r>
      <w:r>
        <w:rPr>
          <w:rFonts w:hint="eastAsia" w:ascii="仿宋_GB2312" w:hAnsi="仿宋" w:eastAsia="仿宋_GB2312" w:cs="黑体"/>
          <w:color w:val="auto"/>
          <w:sz w:val="32"/>
          <w:szCs w:val="32"/>
          <w:lang w:eastAsia="zh-CN"/>
        </w:rPr>
        <w:t>等</w:t>
      </w:r>
      <w:r>
        <w:rPr>
          <w:rFonts w:hint="eastAsia" w:ascii="仿宋_GB2312" w:hAnsi="仿宋" w:eastAsia="仿宋_GB2312" w:cs="黑体"/>
          <w:color w:val="auto"/>
          <w:sz w:val="32"/>
          <w:szCs w:val="32"/>
          <w:lang w:val="en-US" w:eastAsia="zh-CN"/>
        </w:rPr>
        <w:t>9个项目</w:t>
      </w:r>
      <w:r>
        <w:rPr>
          <w:rFonts w:ascii="Times New Roman" w:hAnsi="Times New Roman" w:eastAsia="仿宋_GB2312" w:cs="Times New Roman"/>
          <w:sz w:val="32"/>
          <w:szCs w:val="32"/>
        </w:rPr>
        <w:t>绩效自评结果</w:t>
      </w:r>
      <w:r>
        <w:rPr>
          <w:rFonts w:hint="eastAsia" w:ascii="Times New Roman" w:hAnsi="Times New Roman" w:eastAsia="仿宋_GB2312" w:cs="Times New Roman"/>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val="en-US" w:eastAsia="zh-CN"/>
        </w:rPr>
      </w:pPr>
      <w:r>
        <w:rPr>
          <w:rFonts w:hint="eastAsia" w:ascii="Times New Roman" w:eastAsia="仿宋_GB2312"/>
          <w:b w:val="0"/>
          <w:sz w:val="32"/>
          <w:szCs w:val="32"/>
        </w:rPr>
        <w:t>审计执法经费</w:t>
      </w:r>
      <w:r>
        <w:rPr>
          <w:rFonts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rPr>
        <w:t>95.8</w:t>
      </w:r>
      <w:r>
        <w:rPr>
          <w:rFonts w:ascii="Times New Roman" w:eastAsia="仿宋_GB2312"/>
          <w:b w:val="0"/>
          <w:sz w:val="32"/>
          <w:szCs w:val="32"/>
        </w:rPr>
        <w:t>分（绩效自评表附后）。全年预算数为</w:t>
      </w:r>
      <w:r>
        <w:rPr>
          <w:rFonts w:hint="eastAsia" w:ascii="Times New Roman" w:eastAsia="仿宋_GB2312"/>
          <w:b w:val="0"/>
          <w:sz w:val="32"/>
          <w:szCs w:val="32"/>
          <w:lang w:val="en-US" w:eastAsia="zh-CN"/>
        </w:rPr>
        <w:t>749</w:t>
      </w:r>
      <w:r>
        <w:rPr>
          <w:rFonts w:ascii="Times New Roman" w:eastAsia="仿宋_GB2312"/>
          <w:b w:val="0"/>
          <w:sz w:val="32"/>
          <w:szCs w:val="32"/>
        </w:rPr>
        <w:t>万元，执行数为</w:t>
      </w:r>
      <w:r>
        <w:rPr>
          <w:rFonts w:hint="eastAsia" w:ascii="Times New Roman" w:eastAsia="仿宋_GB2312"/>
          <w:b w:val="0"/>
          <w:sz w:val="32"/>
          <w:szCs w:val="32"/>
        </w:rPr>
        <w:t>434.95</w:t>
      </w:r>
      <w:r>
        <w:rPr>
          <w:rFonts w:ascii="Times New Roman" w:eastAsia="仿宋_GB2312"/>
          <w:b w:val="0"/>
          <w:sz w:val="32"/>
          <w:szCs w:val="32"/>
        </w:rPr>
        <w:t>万元，完成预算的</w:t>
      </w:r>
      <w:r>
        <w:rPr>
          <w:rFonts w:hint="eastAsia" w:ascii="Times New Roman" w:eastAsia="仿宋_GB2312"/>
          <w:b w:val="0"/>
          <w:sz w:val="32"/>
          <w:szCs w:val="32"/>
          <w:lang w:val="en-US" w:eastAsia="zh-CN"/>
        </w:rPr>
        <w:t>58.07</w:t>
      </w:r>
      <w:r>
        <w:rPr>
          <w:rFonts w:ascii="Times New Roman" w:eastAsia="仿宋_GB2312"/>
          <w:b w:val="0"/>
          <w:sz w:val="32"/>
          <w:szCs w:val="32"/>
        </w:rPr>
        <w:t>%。</w:t>
      </w:r>
      <w:r>
        <w:rPr>
          <w:rFonts w:hint="eastAsia" w:ascii="Times New Roman" w:eastAsia="仿宋_GB2312"/>
          <w:b w:val="0"/>
          <w:sz w:val="32"/>
          <w:szCs w:val="32"/>
        </w:rPr>
        <w:t>通过项目实施，完成了年初设定的各项绩效目标，完成审计项目67个，查出问题金额185.07亿元，其中违规金额0.13亿元，管理不规范金额184.94亿元；审计促进增收节支4.12亿元，促进资金拨付到位1.78亿元</w:t>
      </w:r>
      <w:r>
        <w:rPr>
          <w:rFonts w:hint="eastAsia" w:ascii="Times New Roman" w:eastAsia="仿宋_GB2312"/>
          <w:b w:val="0"/>
          <w:sz w:val="32"/>
          <w:szCs w:val="32"/>
          <w:lang w:eastAsia="zh-CN"/>
        </w:rPr>
        <w:t>。</w:t>
      </w:r>
      <w:r>
        <w:rPr>
          <w:rFonts w:ascii="Times New Roman" w:eastAsia="仿宋_GB2312"/>
          <w:b w:val="0"/>
          <w:sz w:val="32"/>
          <w:szCs w:val="32"/>
        </w:rPr>
        <w:t>发现的主要问题及原因是：</w:t>
      </w:r>
      <w:r>
        <w:rPr>
          <w:rFonts w:hint="eastAsia" w:ascii="Times New Roman" w:eastAsia="仿宋_GB2312"/>
          <w:b w:val="0"/>
          <w:sz w:val="32"/>
          <w:szCs w:val="32"/>
          <w:lang w:val="en-US" w:eastAsia="zh-CN"/>
        </w:rPr>
        <w:t>审计项目较以前年度减少，同时，审计项目周期时长等审计工作实际的不确定性，造成项目支出经费减少，2024年结转正定新区国际会展中心及地下综合管廊审计项目经费131.49万元，预算执行力较以前年度偏低。</w:t>
      </w:r>
      <w:r>
        <w:rPr>
          <w:rFonts w:hint="eastAsia" w:ascii="Times New Roman" w:eastAsia="仿宋_GB2312"/>
          <w:b w:val="0"/>
          <w:sz w:val="32"/>
          <w:szCs w:val="32"/>
        </w:rPr>
        <w:t>下一步改进措施：</w:t>
      </w:r>
      <w:r>
        <w:rPr>
          <w:rFonts w:hint="eastAsia" w:ascii="Times New Roman" w:eastAsia="仿宋_GB2312"/>
          <w:b w:val="0"/>
          <w:sz w:val="32"/>
          <w:szCs w:val="32"/>
          <w:lang w:val="en-US" w:eastAsia="zh-CN"/>
        </w:rPr>
        <w:t>根据审计工作开展情况及实际资金需求，合理编制预算，科学设定绩效指标，进一步完善绩效评价结果运用机制，将评价结果作为申报下年度预算的重要依据，</w:t>
      </w:r>
      <w:r>
        <w:rPr>
          <w:rFonts w:hint="eastAsia" w:ascii="Times New Roman" w:eastAsia="仿宋_GB2312"/>
          <w:b w:val="0"/>
          <w:sz w:val="32"/>
          <w:szCs w:val="32"/>
          <w:lang w:val="zh-CN" w:eastAsia="zh-CN"/>
        </w:rPr>
        <w:t>优化项目支出结构方面</w:t>
      </w:r>
      <w:r>
        <w:rPr>
          <w:rFonts w:hint="eastAsia" w:ascii="Times New Roman" w:eastAsia="仿宋_GB2312"/>
          <w:b w:val="0"/>
          <w:sz w:val="32"/>
          <w:szCs w:val="32"/>
          <w:lang w:val="en-US" w:eastAsia="zh-CN"/>
        </w:rPr>
        <w:t>，提高资金使用效益。</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数据流量和处理费项目绩效自评情况：根据年初设定的绩效目标，项目绩效自评得分为</w:t>
      </w:r>
      <w:r>
        <w:rPr>
          <w:rFonts w:hint="eastAsia" w:ascii="Times New Roman" w:eastAsia="仿宋_GB2312"/>
          <w:b w:val="0"/>
          <w:sz w:val="32"/>
          <w:szCs w:val="32"/>
          <w:lang w:val="en-US" w:eastAsia="zh-CN"/>
        </w:rPr>
        <w:t>97.2</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120.80</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110.66</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91.61</w:t>
      </w:r>
      <w:r>
        <w:rPr>
          <w:rFonts w:hint="eastAsia" w:ascii="Times New Roman" w:eastAsia="仿宋_GB2312"/>
          <w:b w:val="0"/>
          <w:sz w:val="32"/>
          <w:szCs w:val="32"/>
        </w:rPr>
        <w:t>%。通过项目实施，购买数据流量和处理服务，保障计算机技术与管理需求和业务需求有效结合，达到提高审计业务人力技术、数据资源的整合力度效果，确保审计数据的安全性，提高数据存储和计算能力，加强大数据环境下的审计作业能力，提高审计效能和质量。提取数据单位数量1413个，采集转换标准数据315G，生成财务标准数据库13.9GB；数据处理准确率达到100%</w:t>
      </w:r>
      <w:r>
        <w:rPr>
          <w:rFonts w:hint="eastAsia" w:ascii="Times New Roman" w:eastAsia="仿宋_GB2312"/>
          <w:b w:val="0"/>
          <w:sz w:val="32"/>
          <w:szCs w:val="32"/>
          <w:lang w:eastAsia="zh-CN"/>
        </w:rPr>
        <w:t>。</w:t>
      </w:r>
      <w:r>
        <w:rPr>
          <w:rFonts w:hint="eastAsia" w:ascii="Times New Roman" w:eastAsia="仿宋_GB2312"/>
          <w:b w:val="0"/>
          <w:sz w:val="32"/>
          <w:szCs w:val="32"/>
        </w:rPr>
        <w:t>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聘用审计专业人员劳务费用项目绩效自评情况：根据年初设定的绩效目标，项目绩效自评得分为</w:t>
      </w:r>
      <w:r>
        <w:rPr>
          <w:rFonts w:hint="eastAsia" w:ascii="Times New Roman" w:eastAsia="仿宋_GB2312"/>
          <w:b w:val="0"/>
          <w:sz w:val="32"/>
          <w:szCs w:val="32"/>
          <w:lang w:val="en-US" w:eastAsia="zh-CN"/>
        </w:rPr>
        <w:t>100</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75.88</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75.88</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%。通过项目实施，聘用劳务派遣人员</w:t>
      </w:r>
      <w:r>
        <w:rPr>
          <w:rFonts w:hint="eastAsia" w:ascii="Times New Roman" w:eastAsia="仿宋_GB2312"/>
          <w:b w:val="0"/>
          <w:sz w:val="32"/>
          <w:szCs w:val="32"/>
          <w:lang w:val="en-US" w:eastAsia="zh-CN"/>
        </w:rPr>
        <w:t>18</w:t>
      </w:r>
      <w:r>
        <w:rPr>
          <w:rFonts w:hint="eastAsia" w:ascii="Times New Roman" w:eastAsia="仿宋_GB2312"/>
          <w:b w:val="0"/>
          <w:sz w:val="32"/>
          <w:szCs w:val="32"/>
        </w:rPr>
        <w:t>人，加强审计力量，提高审计业务质量。未发现问题。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提前下达202</w:t>
      </w:r>
      <w:r>
        <w:rPr>
          <w:rFonts w:hint="eastAsia" w:ascii="Times New Roman" w:eastAsia="仿宋_GB2312"/>
          <w:b w:val="0"/>
          <w:sz w:val="32"/>
          <w:szCs w:val="32"/>
          <w:lang w:val="en-US" w:eastAsia="zh-CN"/>
        </w:rPr>
        <w:t>4</w:t>
      </w:r>
      <w:r>
        <w:rPr>
          <w:rFonts w:hint="eastAsia" w:ascii="Times New Roman" w:eastAsia="仿宋_GB2312"/>
          <w:b w:val="0"/>
          <w:sz w:val="32"/>
          <w:szCs w:val="32"/>
        </w:rPr>
        <w:t>年中央审计专项补助经费项目绩效自评情况：根据年初设定的绩效目标，项目绩效自评得分为</w:t>
      </w:r>
      <w:r>
        <w:rPr>
          <w:rFonts w:hint="eastAsia" w:ascii="Times New Roman" w:eastAsia="仿宋_GB2312"/>
          <w:b w:val="0"/>
          <w:sz w:val="32"/>
          <w:szCs w:val="32"/>
          <w:lang w:val="en-US" w:eastAsia="zh-CN"/>
        </w:rPr>
        <w:t>100</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20</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20</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开展审计质量提升、审计能力提升、全市内审交流培训等相关培训，提升审计人员综合素质，促进审计工作提质增效；开展了全市审计系统大数据培训班，提升了全市审计系统大数据审计分析能力，促进大数据审计人才队伍建设。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提前下达2024年信息系统运行维护专项补助经费项目绩效自评情况：根据年初设定的绩效目标，项目绩效自评得分为</w:t>
      </w:r>
      <w:r>
        <w:rPr>
          <w:rFonts w:hint="eastAsia" w:ascii="Times New Roman" w:eastAsia="仿宋_GB2312"/>
          <w:b w:val="0"/>
          <w:sz w:val="32"/>
          <w:szCs w:val="32"/>
          <w:lang w:val="en-US" w:eastAsia="zh-CN"/>
        </w:rPr>
        <w:t>100</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12</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12</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w:t>
      </w:r>
      <w:r>
        <w:rPr>
          <w:rFonts w:hint="eastAsia" w:ascii="Times New Roman" w:eastAsia="仿宋_GB2312"/>
          <w:b w:val="0"/>
          <w:sz w:val="32"/>
          <w:szCs w:val="32"/>
          <w:lang w:eastAsia="zh-CN"/>
        </w:rPr>
        <w:t>进行</w:t>
      </w:r>
      <w:r>
        <w:rPr>
          <w:rFonts w:hint="eastAsia" w:ascii="Times New Roman" w:eastAsia="仿宋_GB2312"/>
          <w:b w:val="0"/>
          <w:sz w:val="32"/>
          <w:szCs w:val="32"/>
        </w:rPr>
        <w:t>金审工程三期应用推广，实现审计数据收集，整理，分析全覆盖。</w:t>
      </w:r>
      <w:r>
        <w:rPr>
          <w:rFonts w:hint="eastAsia" w:ascii="Times New Roman" w:eastAsia="仿宋_GB2312"/>
          <w:b w:val="0"/>
          <w:sz w:val="32"/>
          <w:szCs w:val="32"/>
          <w:lang w:eastAsia="zh-CN"/>
        </w:rPr>
        <w:t>保障</w:t>
      </w:r>
      <w:r>
        <w:rPr>
          <w:rFonts w:hint="eastAsia" w:ascii="Times New Roman" w:eastAsia="仿宋_GB2312"/>
          <w:b w:val="0"/>
          <w:sz w:val="32"/>
          <w:szCs w:val="32"/>
        </w:rPr>
        <w:t>金审三期信息化系统正常运行，建立了整合的，全方位的审计信息化体系，</w:t>
      </w:r>
      <w:r>
        <w:rPr>
          <w:rFonts w:hint="eastAsia" w:ascii="Times New Roman" w:eastAsia="仿宋_GB2312"/>
          <w:b w:val="0"/>
          <w:sz w:val="32"/>
          <w:szCs w:val="32"/>
          <w:lang w:eastAsia="zh-CN"/>
        </w:rPr>
        <w:t>维护内部审计管理平台，升级改造投资平台功能，</w:t>
      </w:r>
      <w:r>
        <w:rPr>
          <w:rFonts w:hint="eastAsia" w:ascii="Times New Roman" w:eastAsia="仿宋_GB2312"/>
          <w:b w:val="0"/>
          <w:sz w:val="32"/>
          <w:szCs w:val="32"/>
        </w:rPr>
        <w:t>提高了信息化环境下的审计监督能力。未发现问题。</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eastAsia="zh-CN"/>
        </w:rPr>
      </w:pPr>
      <w:r>
        <w:rPr>
          <w:rFonts w:hint="eastAsia" w:ascii="Times New Roman" w:eastAsia="仿宋_GB2312"/>
          <w:b w:val="0"/>
          <w:sz w:val="32"/>
          <w:szCs w:val="32"/>
        </w:rPr>
        <w:t>办公设备购置项目绩效自评情况：根据年初设定的绩效目标，项目绩效自评得分为</w:t>
      </w:r>
      <w:r>
        <w:rPr>
          <w:rFonts w:hint="eastAsia" w:ascii="Times New Roman" w:eastAsia="仿宋_GB2312"/>
          <w:b w:val="0"/>
          <w:sz w:val="32"/>
          <w:szCs w:val="32"/>
          <w:lang w:val="en-US" w:eastAsia="zh-CN"/>
        </w:rPr>
        <w:t>97.8</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179.27</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176.77</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98.61</w:t>
      </w:r>
      <w:r>
        <w:rPr>
          <w:rFonts w:hint="eastAsia" w:ascii="Times New Roman" w:eastAsia="仿宋_GB2312"/>
          <w:b w:val="0"/>
          <w:sz w:val="32"/>
          <w:szCs w:val="32"/>
        </w:rPr>
        <w:t>%。通过项目实施，及时更新、为人员配置办公设备，有效提升业务保障能力,提升履职尽责效果</w:t>
      </w:r>
      <w:r>
        <w:rPr>
          <w:rFonts w:hint="eastAsia" w:ascii="Times New Roman" w:eastAsia="仿宋_GB2312"/>
          <w:b w:val="0"/>
          <w:sz w:val="32"/>
          <w:szCs w:val="32"/>
          <w:lang w:eastAsia="zh-CN"/>
        </w:rPr>
        <w:t>。</w:t>
      </w:r>
      <w:r>
        <w:rPr>
          <w:rFonts w:hint="eastAsia" w:ascii="Times New Roman" w:eastAsia="仿宋_GB2312"/>
          <w:b w:val="0"/>
          <w:sz w:val="32"/>
          <w:szCs w:val="32"/>
        </w:rPr>
        <w:t>未发现问题</w:t>
      </w:r>
      <w:r>
        <w:rPr>
          <w:rFonts w:hint="eastAsia" w:ascii="Times New Roman" w:eastAsia="仿宋_GB2312"/>
          <w:b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eastAsia="zh-CN"/>
        </w:rPr>
      </w:pPr>
      <w:r>
        <w:rPr>
          <w:rFonts w:hint="eastAsia" w:ascii="仿宋_GB2312" w:hAnsi="仿宋" w:eastAsia="仿宋_GB2312" w:cs="黑体"/>
          <w:color w:val="auto"/>
          <w:sz w:val="32"/>
          <w:szCs w:val="32"/>
        </w:rPr>
        <w:t>法律咨询服务费</w:t>
      </w:r>
      <w:r>
        <w:rPr>
          <w:rFonts w:hint="eastAsia"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lang w:val="en-US" w:eastAsia="zh-CN"/>
        </w:rPr>
        <w:t>98</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6</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6</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%。通过项目实施，进一步加强</w:t>
      </w:r>
      <w:r>
        <w:rPr>
          <w:rFonts w:hint="eastAsia" w:ascii="Times New Roman" w:eastAsia="仿宋_GB2312"/>
          <w:b w:val="0"/>
          <w:sz w:val="32"/>
          <w:szCs w:val="32"/>
          <w:lang w:eastAsia="zh-CN"/>
        </w:rPr>
        <w:t>了</w:t>
      </w:r>
      <w:r>
        <w:rPr>
          <w:rFonts w:hint="eastAsia" w:ascii="Times New Roman" w:eastAsia="仿宋_GB2312"/>
          <w:b w:val="0"/>
          <w:sz w:val="32"/>
          <w:szCs w:val="32"/>
        </w:rPr>
        <w:t>法律顾问工作管理，充分发挥</w:t>
      </w:r>
      <w:r>
        <w:rPr>
          <w:rFonts w:hint="eastAsia" w:ascii="Times New Roman" w:eastAsia="仿宋_GB2312"/>
          <w:b w:val="0"/>
          <w:sz w:val="32"/>
          <w:szCs w:val="32"/>
          <w:lang w:eastAsia="zh-CN"/>
        </w:rPr>
        <w:t>了</w:t>
      </w:r>
      <w:r>
        <w:rPr>
          <w:rFonts w:hint="eastAsia" w:ascii="Times New Roman" w:eastAsia="仿宋_GB2312"/>
          <w:b w:val="0"/>
          <w:sz w:val="32"/>
          <w:szCs w:val="32"/>
        </w:rPr>
        <w:t>法律顾问作用，进一步提升</w:t>
      </w:r>
      <w:r>
        <w:rPr>
          <w:rFonts w:hint="eastAsia" w:ascii="Times New Roman" w:eastAsia="仿宋_GB2312"/>
          <w:b w:val="0"/>
          <w:sz w:val="32"/>
          <w:szCs w:val="32"/>
          <w:lang w:eastAsia="zh-CN"/>
        </w:rPr>
        <w:t>了</w:t>
      </w:r>
      <w:r>
        <w:rPr>
          <w:rFonts w:hint="eastAsia" w:ascii="Times New Roman" w:eastAsia="仿宋_GB2312"/>
          <w:b w:val="0"/>
          <w:sz w:val="32"/>
          <w:szCs w:val="32"/>
        </w:rPr>
        <w:t>咨询服务使用效果</w:t>
      </w:r>
      <w:r>
        <w:rPr>
          <w:rFonts w:hint="eastAsia" w:ascii="Times New Roman" w:eastAsia="仿宋_GB2312"/>
          <w:b w:val="0"/>
          <w:sz w:val="32"/>
          <w:szCs w:val="32"/>
          <w:lang w:eastAsia="zh-CN"/>
        </w:rPr>
        <w:t>，</w:t>
      </w:r>
      <w:r>
        <w:rPr>
          <w:rFonts w:hint="eastAsia" w:ascii="仿宋_GB2312" w:hAnsi="仿宋" w:eastAsia="仿宋_GB2312" w:cs="黑体"/>
          <w:color w:val="auto"/>
          <w:sz w:val="32"/>
          <w:szCs w:val="32"/>
        </w:rPr>
        <w:t>提高审计质量和业务能力效果</w:t>
      </w:r>
      <w:r>
        <w:rPr>
          <w:rFonts w:hint="eastAsia" w:ascii="仿宋_GB2312" w:hAnsi="仿宋" w:eastAsia="仿宋_GB2312" w:cs="黑体"/>
          <w:color w:val="auto"/>
          <w:sz w:val="32"/>
          <w:szCs w:val="32"/>
          <w:lang w:eastAsia="zh-CN"/>
        </w:rPr>
        <w:t>。</w:t>
      </w:r>
      <w:r>
        <w:rPr>
          <w:rFonts w:hint="eastAsia" w:ascii="Times New Roman" w:eastAsia="仿宋_GB2312"/>
          <w:b w:val="0"/>
          <w:sz w:val="32"/>
          <w:szCs w:val="32"/>
        </w:rPr>
        <w:t>未发现问题</w:t>
      </w:r>
      <w:r>
        <w:rPr>
          <w:rFonts w:hint="eastAsia" w:ascii="Times New Roman" w:eastAsia="仿宋_GB2312"/>
          <w:b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lang w:eastAsia="zh-CN"/>
        </w:rPr>
      </w:pPr>
      <w:r>
        <w:rPr>
          <w:rFonts w:hint="eastAsia" w:ascii="仿宋_GB2312" w:hAnsi="仿宋" w:eastAsia="仿宋_GB2312" w:cs="黑体"/>
          <w:color w:val="auto"/>
          <w:sz w:val="32"/>
          <w:szCs w:val="32"/>
        </w:rPr>
        <w:t>党组织活动经费</w:t>
      </w:r>
      <w:r>
        <w:rPr>
          <w:rFonts w:hint="eastAsia"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lang w:val="en-US" w:eastAsia="zh-CN"/>
        </w:rPr>
        <w:t>98</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13.5</w:t>
      </w:r>
      <w:r>
        <w:rPr>
          <w:rFonts w:hint="eastAsia" w:ascii="Times New Roman" w:eastAsia="仿宋_GB2312"/>
          <w:b w:val="0"/>
          <w:sz w:val="32"/>
          <w:szCs w:val="32"/>
        </w:rPr>
        <w:t>万元，执行数为</w:t>
      </w:r>
      <w:r>
        <w:rPr>
          <w:rFonts w:hint="eastAsia" w:ascii="Times New Roman" w:eastAsia="仿宋_GB2312"/>
          <w:b w:val="0"/>
          <w:sz w:val="32"/>
          <w:szCs w:val="32"/>
          <w:lang w:val="en-US" w:eastAsia="zh-CN"/>
        </w:rPr>
        <w:t>13.5</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hint="eastAsia" w:ascii="Times New Roman" w:eastAsia="仿宋_GB2312"/>
          <w:b w:val="0"/>
          <w:sz w:val="32"/>
          <w:szCs w:val="32"/>
        </w:rPr>
        <w:t>%。通过项目实施，进一步</w:t>
      </w:r>
      <w:r>
        <w:rPr>
          <w:rFonts w:hint="eastAsia" w:ascii="仿宋_GB2312" w:hAnsi="仿宋" w:eastAsia="仿宋_GB2312" w:cs="黑体"/>
          <w:color w:val="auto"/>
          <w:sz w:val="32"/>
          <w:szCs w:val="32"/>
        </w:rPr>
        <w:t>提高党</w:t>
      </w:r>
      <w:r>
        <w:rPr>
          <w:rFonts w:hint="eastAsia" w:ascii="仿宋_GB2312" w:hAnsi="仿宋" w:eastAsia="仿宋_GB2312" w:cs="黑体"/>
          <w:color w:val="auto"/>
          <w:sz w:val="32"/>
          <w:szCs w:val="32"/>
          <w:lang w:eastAsia="zh-CN"/>
        </w:rPr>
        <w:t>了</w:t>
      </w:r>
      <w:r>
        <w:rPr>
          <w:rFonts w:hint="eastAsia" w:ascii="仿宋_GB2312" w:hAnsi="仿宋" w:eastAsia="仿宋_GB2312" w:cs="黑体"/>
          <w:color w:val="auto"/>
          <w:sz w:val="32"/>
          <w:szCs w:val="32"/>
        </w:rPr>
        <w:t>员干部政治素质，有助于培养忠诚、干净、</w:t>
      </w:r>
      <w:r>
        <w:rPr>
          <w:rFonts w:hint="eastAsia" w:ascii="Times New Roman" w:eastAsia="仿宋_GB2312"/>
          <w:b w:val="0"/>
          <w:sz w:val="32"/>
          <w:szCs w:val="32"/>
        </w:rPr>
        <w:t>担当的党员干部队伍效果</w:t>
      </w:r>
      <w:r>
        <w:rPr>
          <w:rFonts w:hint="eastAsia" w:ascii="Times New Roman" w:eastAsia="仿宋_GB2312"/>
          <w:b w:val="0"/>
          <w:sz w:val="32"/>
          <w:szCs w:val="32"/>
          <w:lang w:eastAsia="zh-CN"/>
        </w:rPr>
        <w:t>良好。</w:t>
      </w:r>
      <w:r>
        <w:rPr>
          <w:rFonts w:hint="eastAsia" w:ascii="Times New Roman" w:eastAsia="仿宋_GB2312"/>
          <w:b w:val="0"/>
          <w:sz w:val="32"/>
          <w:szCs w:val="32"/>
        </w:rPr>
        <w:t>未发现问题</w:t>
      </w:r>
      <w:r>
        <w:rPr>
          <w:rFonts w:hint="eastAsia" w:ascii="Times New Roman" w:eastAsia="仿宋_GB2312"/>
          <w:b w:val="0"/>
          <w:sz w:val="32"/>
          <w:szCs w:val="32"/>
          <w:lang w:eastAsia="zh-CN"/>
        </w:rPr>
        <w:t>。</w: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640" w:firstLineChars="200"/>
        <w:jc w:val="left"/>
        <w:textAlignment w:val="auto"/>
        <w:outlineLvl w:val="9"/>
        <w:rPr>
          <w:rFonts w:hint="eastAsia" w:ascii="Times New Roman" w:eastAsia="仿宋_GB2312"/>
          <w:b w:val="0"/>
          <w:sz w:val="32"/>
          <w:szCs w:val="32"/>
        </w:rPr>
      </w:pPr>
      <w:r>
        <w:rPr>
          <w:rFonts w:hint="eastAsia" w:ascii="Times New Roman" w:eastAsia="仿宋_GB2312"/>
          <w:b w:val="0"/>
          <w:sz w:val="32"/>
          <w:szCs w:val="32"/>
        </w:rPr>
        <w:t>办公楼租赁及物业管理</w:t>
      </w:r>
      <w:r>
        <w:rPr>
          <w:rFonts w:hint="eastAsia" w:ascii="Times New Roman" w:eastAsia="仿宋_GB2312"/>
          <w:b w:val="0"/>
          <w:sz w:val="32"/>
          <w:szCs w:val="32"/>
          <w:lang w:eastAsia="zh-CN"/>
        </w:rPr>
        <w:t>维护</w:t>
      </w:r>
      <w:r>
        <w:rPr>
          <w:rFonts w:hint="eastAsia" w:ascii="Times New Roman" w:eastAsia="仿宋_GB2312"/>
          <w:b w:val="0"/>
          <w:sz w:val="32"/>
          <w:szCs w:val="32"/>
        </w:rPr>
        <w:t>项目绩效自评情况：根据年初设定的绩效目标，项目绩效自评得分为9</w:t>
      </w:r>
      <w:r>
        <w:rPr>
          <w:rFonts w:hint="eastAsia" w:ascii="Times New Roman" w:eastAsia="仿宋_GB2312"/>
          <w:b w:val="0"/>
          <w:sz w:val="32"/>
          <w:szCs w:val="32"/>
          <w:lang w:val="en-US" w:eastAsia="zh-CN"/>
        </w:rPr>
        <w:t>7.7</w:t>
      </w:r>
      <w:r>
        <w:rPr>
          <w:rFonts w:hint="eastAsia" w:ascii="Times New Roman" w:eastAsia="仿宋_GB2312"/>
          <w:b w:val="0"/>
          <w:sz w:val="32"/>
          <w:szCs w:val="32"/>
        </w:rPr>
        <w:t>分（绩效自评表附后）。全年预算数为</w:t>
      </w:r>
      <w:r>
        <w:rPr>
          <w:rFonts w:hint="eastAsia" w:ascii="Times New Roman" w:eastAsia="仿宋_GB2312"/>
          <w:b w:val="0"/>
          <w:sz w:val="32"/>
          <w:szCs w:val="32"/>
          <w:lang w:val="en-US" w:eastAsia="zh-CN"/>
        </w:rPr>
        <w:t>7</w:t>
      </w:r>
      <w:r>
        <w:rPr>
          <w:rFonts w:hint="eastAsia" w:ascii="Times New Roman" w:eastAsia="仿宋_GB2312"/>
          <w:b w:val="0"/>
          <w:sz w:val="32"/>
          <w:szCs w:val="32"/>
        </w:rPr>
        <w:t>5万元，执行数为</w:t>
      </w:r>
      <w:r>
        <w:rPr>
          <w:rFonts w:hint="eastAsia" w:ascii="仿宋_GB2312" w:hAnsi="仿宋" w:eastAsia="仿宋_GB2312" w:cs="黑体"/>
          <w:color w:val="auto"/>
          <w:sz w:val="32"/>
          <w:szCs w:val="32"/>
        </w:rPr>
        <w:t>72.75</w:t>
      </w:r>
      <w:r>
        <w:rPr>
          <w:rFonts w:hint="eastAsia" w:ascii="Times New Roman" w:eastAsia="仿宋_GB2312"/>
          <w:b w:val="0"/>
          <w:sz w:val="32"/>
          <w:szCs w:val="32"/>
        </w:rPr>
        <w:t>万元，完成预算的</w:t>
      </w:r>
      <w:r>
        <w:rPr>
          <w:rFonts w:hint="eastAsia" w:ascii="Times New Roman" w:eastAsia="仿宋_GB2312"/>
          <w:b w:val="0"/>
          <w:sz w:val="32"/>
          <w:szCs w:val="32"/>
          <w:lang w:val="en-US" w:eastAsia="zh-CN"/>
        </w:rPr>
        <w:t>97</w:t>
      </w:r>
      <w:r>
        <w:rPr>
          <w:rFonts w:hint="eastAsia" w:ascii="Times New Roman" w:eastAsia="仿宋_GB2312"/>
          <w:b w:val="0"/>
          <w:sz w:val="32"/>
          <w:szCs w:val="32"/>
        </w:rPr>
        <w:t>%。通过项目实施，</w:t>
      </w:r>
      <w:r>
        <w:rPr>
          <w:rFonts w:hint="eastAsia" w:ascii="仿宋_GB2312" w:hAnsi="仿宋" w:eastAsia="仿宋_GB2312" w:cs="黑体"/>
          <w:color w:val="auto"/>
          <w:sz w:val="32"/>
          <w:szCs w:val="32"/>
        </w:rPr>
        <w:t>保障</w:t>
      </w:r>
      <w:r>
        <w:rPr>
          <w:rFonts w:hint="eastAsia" w:ascii="仿宋_GB2312" w:hAnsi="仿宋" w:eastAsia="仿宋_GB2312" w:cs="黑体"/>
          <w:color w:val="auto"/>
          <w:sz w:val="32"/>
          <w:szCs w:val="32"/>
          <w:lang w:eastAsia="zh-CN"/>
        </w:rPr>
        <w:t>单位办公运行效果</w:t>
      </w:r>
      <w:r>
        <w:rPr>
          <w:rFonts w:hint="eastAsia" w:ascii="仿宋_GB2312" w:hAnsi="仿宋" w:eastAsia="仿宋_GB2312" w:cs="黑体"/>
          <w:color w:val="auto"/>
          <w:sz w:val="32"/>
          <w:szCs w:val="32"/>
        </w:rPr>
        <w:t>良好</w:t>
      </w:r>
      <w:r>
        <w:rPr>
          <w:rFonts w:hint="eastAsia" w:ascii="Times New Roman" w:eastAsia="仿宋_GB2312"/>
          <w:b w:val="0"/>
          <w:sz w:val="32"/>
          <w:szCs w:val="32"/>
        </w:rPr>
        <w:t>。未发现问题。</w:t>
      </w:r>
    </w:p>
    <w:p>
      <w:pPr>
        <w:pStyle w:val="10"/>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附绩效自评表如下：</w:t>
      </w:r>
    </w:p>
    <w:p>
      <w:pPr>
        <w:rPr>
          <w:rFonts w:hint="eastAsia"/>
          <w:lang w:val="en-US" w:eastAsia="zh-CN"/>
        </w:rPr>
      </w:pPr>
      <w:r>
        <w:rPr>
          <w:rFonts w:hint="eastAsia"/>
          <w:lang w:val="en-US" w:eastAsia="zh-CN"/>
        </w:rPr>
        <w:br w:type="page"/>
      </w:r>
    </w:p>
    <w:p>
      <w:pPr>
        <w:pStyle w:val="10"/>
        <w:rPr>
          <w:rFonts w:hint="eastAsia" w:ascii="Times New Roman" w:eastAsia="仿宋_GB2312" w:cs="宋体"/>
          <w:b/>
          <w:color w:val="auto"/>
          <w:kern w:val="0"/>
          <w:sz w:val="32"/>
          <w:szCs w:val="32"/>
          <w:lang w:val="en-US" w:eastAsia="zh-CN" w:bidi="ar-SA"/>
        </w:rPr>
      </w:pPr>
      <w:r>
        <w:rPr>
          <w:rFonts w:hint="eastAsia" w:ascii="Times New Roman" w:eastAsia="仿宋_GB2312" w:cs="宋体"/>
          <w:b/>
          <w:color w:val="auto"/>
          <w:kern w:val="0"/>
          <w:sz w:val="32"/>
          <w:szCs w:val="32"/>
          <w:lang w:val="en-US" w:eastAsia="zh-CN" w:bidi="ar-SA"/>
        </w:rPr>
        <w:t>审计执法经费</w:t>
      </w:r>
    </w:p>
    <w:tbl>
      <w:tblPr>
        <w:tblStyle w:val="16"/>
        <w:tblpPr w:leftFromText="180" w:rightFromText="180" w:vertAnchor="text" w:horzAnchor="page" w:tblpX="831" w:tblpY="739"/>
        <w:tblOverlap w:val="never"/>
        <w:tblW w:w="1063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2"/>
        <w:gridCol w:w="1254"/>
        <w:gridCol w:w="1253"/>
        <w:gridCol w:w="1254"/>
        <w:gridCol w:w="1343"/>
        <w:gridCol w:w="1421"/>
        <w:gridCol w:w="1419"/>
        <w:gridCol w:w="153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630"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10630"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152"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125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53" w:type="dxa"/>
            <w:shd w:val="clear" w:color="auto" w:fill="auto"/>
            <w:vAlign w:val="center"/>
          </w:tcPr>
          <w:p>
            <w:pPr>
              <w:jc w:val="center"/>
              <w:rPr>
                <w:rFonts w:hint="eastAsia" w:ascii="宋体" w:hAnsi="宋体" w:eastAsia="宋体" w:cs="宋体"/>
                <w:i w:val="0"/>
                <w:color w:val="000000"/>
                <w:sz w:val="16"/>
                <w:szCs w:val="16"/>
                <w:u w:val="none"/>
              </w:rPr>
            </w:pPr>
          </w:p>
        </w:tc>
        <w:tc>
          <w:tcPr>
            <w:tcW w:w="1254" w:type="dxa"/>
            <w:shd w:val="clear" w:color="auto" w:fill="auto"/>
            <w:vAlign w:val="center"/>
          </w:tcPr>
          <w:p>
            <w:pPr>
              <w:jc w:val="center"/>
              <w:rPr>
                <w:rFonts w:hint="eastAsia" w:ascii="宋体" w:hAnsi="宋体" w:eastAsia="宋体" w:cs="宋体"/>
                <w:i w:val="0"/>
                <w:color w:val="000000"/>
                <w:sz w:val="16"/>
                <w:szCs w:val="16"/>
                <w:u w:val="none"/>
              </w:rPr>
            </w:pPr>
          </w:p>
        </w:tc>
        <w:tc>
          <w:tcPr>
            <w:tcW w:w="1343" w:type="dxa"/>
            <w:shd w:val="clear" w:color="auto" w:fill="auto"/>
            <w:vAlign w:val="center"/>
          </w:tcPr>
          <w:p>
            <w:pPr>
              <w:jc w:val="center"/>
              <w:rPr>
                <w:rFonts w:hint="eastAsia" w:ascii="宋体" w:hAnsi="宋体" w:eastAsia="宋体" w:cs="宋体"/>
                <w:i w:val="0"/>
                <w:color w:val="000000"/>
                <w:sz w:val="16"/>
                <w:szCs w:val="16"/>
                <w:u w:val="none"/>
              </w:rPr>
            </w:pPr>
          </w:p>
        </w:tc>
        <w:tc>
          <w:tcPr>
            <w:tcW w:w="1421" w:type="dxa"/>
            <w:shd w:val="clear" w:color="auto" w:fill="auto"/>
            <w:vAlign w:val="center"/>
          </w:tcPr>
          <w:p>
            <w:pPr>
              <w:jc w:val="center"/>
              <w:rPr>
                <w:rFonts w:hint="eastAsia" w:ascii="宋体" w:hAnsi="宋体" w:eastAsia="宋体" w:cs="宋体"/>
                <w:i w:val="0"/>
                <w:color w:val="000000"/>
                <w:sz w:val="16"/>
                <w:szCs w:val="16"/>
                <w:u w:val="none"/>
              </w:rPr>
            </w:pPr>
          </w:p>
        </w:tc>
        <w:tc>
          <w:tcPr>
            <w:tcW w:w="1419" w:type="dxa"/>
            <w:shd w:val="clear" w:color="auto" w:fill="auto"/>
            <w:vAlign w:val="center"/>
          </w:tcPr>
          <w:p>
            <w:pPr>
              <w:jc w:val="center"/>
              <w:rPr>
                <w:rFonts w:hint="eastAsia" w:ascii="宋体" w:hAnsi="宋体" w:eastAsia="宋体" w:cs="宋体"/>
                <w:i w:val="0"/>
                <w:color w:val="000000"/>
                <w:sz w:val="16"/>
                <w:szCs w:val="16"/>
                <w:u w:val="none"/>
              </w:rPr>
            </w:pPr>
          </w:p>
        </w:tc>
        <w:tc>
          <w:tcPr>
            <w:tcW w:w="153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审计执法经费</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437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50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84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434.95</w:t>
            </w:r>
          </w:p>
        </w:tc>
        <w:tc>
          <w:tcPr>
            <w:tcW w:w="1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434.95</w:t>
            </w: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4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15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76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18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76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通过保障审计人员开展审计业务产生的各项支出，保障审计执法工作顺利开展，维护国家财政经济秩序、促进廉政建设、保障国民经济的健康发展。</w:t>
            </w:r>
          </w:p>
        </w:tc>
        <w:tc>
          <w:tcPr>
            <w:tcW w:w="418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通过保障审计人员开展审计业务产生的各项支出，保障审计执法工作顺利开展，完成全年审计工作任务。</w:t>
            </w:r>
          </w:p>
        </w:tc>
        <w:tc>
          <w:tcPr>
            <w:tcW w:w="153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7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8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2" w:hRule="atLeast"/>
        </w:trPr>
        <w:tc>
          <w:tcPr>
            <w:tcW w:w="115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76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8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53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152"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597"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42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4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5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53" w:type="dxa"/>
            <w:tcBorders>
              <w:top w:val="single" w:color="000000" w:sz="4" w:space="0"/>
              <w:lef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完成审计项目的次数占全部审计计划的比例</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90 %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审计项目报告合格率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项目完成时间</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799万元</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749万元</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3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53" w:type="dxa"/>
            <w:tcBorders>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58%</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restart"/>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效益指标（40分）</w:t>
            </w: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保障能力提升情况</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419"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8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被审计单位根据审计建章立制数</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 项</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59项</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vMerge w:val="continue"/>
            <w:tcBorders>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审计报告中提出的建议采纳率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5"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5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59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审计违纪投诉率</w:t>
            </w:r>
          </w:p>
        </w:tc>
        <w:tc>
          <w:tcPr>
            <w:tcW w:w="142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5 %</w:t>
            </w:r>
          </w:p>
        </w:tc>
        <w:tc>
          <w:tcPr>
            <w:tcW w:w="1419"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0</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152"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944"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53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05" w:hRule="atLeast"/>
        </w:trPr>
        <w:tc>
          <w:tcPr>
            <w:tcW w:w="1152"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9478"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原因：23年审计项目83个，24年审计项目67个，审计项目数量减少，预算执行力偏低。整改措施：根据审计工作开展情况及实际资金需求，合理编制预算，科学设定绩效指标，进一步完善绩效评价结果运用机制，将评价结果作为申报下年度预算的重要依据，发挥绩效评价工作应有的作用，提高资金使用效益。</w:t>
            </w:r>
          </w:p>
        </w:tc>
      </w:tr>
    </w:tbl>
    <w:p>
      <w:pPr>
        <w:rPr>
          <w:rFonts w:hint="eastAsia"/>
          <w:lang w:val="en-US" w:eastAsia="zh-CN"/>
        </w:rPr>
      </w:pPr>
    </w:p>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数据流量和处理费</w:t>
      </w:r>
    </w:p>
    <w:tbl>
      <w:tblPr>
        <w:tblStyle w:val="16"/>
        <w:tblpPr w:leftFromText="180" w:rightFromText="180" w:vertAnchor="text" w:horzAnchor="page" w:tblpX="1020" w:tblpY="651"/>
        <w:tblOverlap w:val="never"/>
        <w:tblW w:w="1046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49"/>
        <w:gridCol w:w="1268"/>
        <w:gridCol w:w="1270"/>
        <w:gridCol w:w="1298"/>
        <w:gridCol w:w="1329"/>
        <w:gridCol w:w="1076"/>
        <w:gridCol w:w="1761"/>
        <w:gridCol w:w="131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65"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10465"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149"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126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70" w:type="dxa"/>
            <w:shd w:val="clear" w:color="auto" w:fill="auto"/>
            <w:vAlign w:val="center"/>
          </w:tcPr>
          <w:p>
            <w:pPr>
              <w:jc w:val="center"/>
              <w:rPr>
                <w:rFonts w:hint="eastAsia" w:ascii="宋体" w:hAnsi="宋体" w:eastAsia="宋体" w:cs="宋体"/>
                <w:i w:val="0"/>
                <w:color w:val="000000"/>
                <w:sz w:val="16"/>
                <w:szCs w:val="16"/>
                <w:u w:val="none"/>
              </w:rPr>
            </w:pPr>
          </w:p>
        </w:tc>
        <w:tc>
          <w:tcPr>
            <w:tcW w:w="1298" w:type="dxa"/>
            <w:shd w:val="clear" w:color="auto" w:fill="auto"/>
            <w:vAlign w:val="center"/>
          </w:tcPr>
          <w:p>
            <w:pPr>
              <w:jc w:val="center"/>
              <w:rPr>
                <w:rFonts w:hint="eastAsia" w:ascii="宋体" w:hAnsi="宋体" w:eastAsia="宋体" w:cs="宋体"/>
                <w:i w:val="0"/>
                <w:color w:val="000000"/>
                <w:sz w:val="16"/>
                <w:szCs w:val="16"/>
                <w:u w:val="none"/>
              </w:rPr>
            </w:pPr>
          </w:p>
        </w:tc>
        <w:tc>
          <w:tcPr>
            <w:tcW w:w="1329" w:type="dxa"/>
            <w:shd w:val="clear" w:color="auto" w:fill="auto"/>
            <w:vAlign w:val="center"/>
          </w:tcPr>
          <w:p>
            <w:pPr>
              <w:jc w:val="center"/>
              <w:rPr>
                <w:rFonts w:hint="eastAsia" w:ascii="宋体" w:hAnsi="宋体" w:eastAsia="宋体" w:cs="宋体"/>
                <w:i w:val="0"/>
                <w:color w:val="000000"/>
                <w:sz w:val="16"/>
                <w:szCs w:val="16"/>
                <w:u w:val="none"/>
              </w:rPr>
            </w:pPr>
          </w:p>
        </w:tc>
        <w:tc>
          <w:tcPr>
            <w:tcW w:w="1076" w:type="dxa"/>
            <w:shd w:val="clear" w:color="auto" w:fill="auto"/>
            <w:vAlign w:val="center"/>
          </w:tcPr>
          <w:p>
            <w:pPr>
              <w:jc w:val="center"/>
              <w:rPr>
                <w:rFonts w:hint="eastAsia" w:ascii="宋体" w:hAnsi="宋体" w:eastAsia="宋体" w:cs="宋体"/>
                <w:i w:val="0"/>
                <w:color w:val="000000"/>
                <w:sz w:val="16"/>
                <w:szCs w:val="16"/>
                <w:u w:val="none"/>
              </w:rPr>
            </w:pPr>
          </w:p>
        </w:tc>
        <w:tc>
          <w:tcPr>
            <w:tcW w:w="1761" w:type="dxa"/>
            <w:shd w:val="clear" w:color="auto" w:fill="auto"/>
            <w:vAlign w:val="center"/>
          </w:tcPr>
          <w:p>
            <w:pPr>
              <w:jc w:val="center"/>
              <w:rPr>
                <w:rFonts w:hint="eastAsia" w:ascii="宋体" w:hAnsi="宋体" w:eastAsia="宋体" w:cs="宋体"/>
                <w:i w:val="0"/>
                <w:color w:val="000000"/>
                <w:sz w:val="16"/>
                <w:szCs w:val="16"/>
                <w:u w:val="none"/>
              </w:rPr>
            </w:pPr>
          </w:p>
        </w:tc>
        <w:tc>
          <w:tcPr>
            <w:tcW w:w="131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29"/>
                <w:lang w:val="en-US" w:eastAsia="zh-CN" w:bidi="ar"/>
              </w:rPr>
              <w:t>一、</w:t>
            </w:r>
            <w:r>
              <w:rPr>
                <w:rStyle w:val="30"/>
                <w:rFonts w:eastAsia="宋体"/>
                <w:lang w:val="en-US" w:eastAsia="zh-CN" w:bidi="ar"/>
              </w:rPr>
              <w:t xml:space="preserve"> </w:t>
            </w:r>
            <w:r>
              <w:rPr>
                <w:rStyle w:val="29"/>
                <w:lang w:val="en-US" w:eastAsia="zh-CN" w:bidi="ar"/>
              </w:rPr>
              <w:t>基本情况</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56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数据流量和处理费</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415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rPr>
        <w:tc>
          <w:tcPr>
            <w:tcW w:w="11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53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8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110.66</w:t>
            </w:r>
          </w:p>
        </w:tc>
        <w:tc>
          <w:tcPr>
            <w:tcW w:w="131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120.796</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110.66</w:t>
            </w:r>
          </w:p>
        </w:tc>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9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2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31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114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83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16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36" w:type="dxa"/>
            <w:gridSpan w:val="3"/>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购买数据流量和处理服务，保障计算机技术与管理需求和业务需求有效结合，达到提高审计业务人力技术、数据资源的整合力度效果，确保审计数据的安全性，提高数据存储和计算能力，加强大数据环境下的审计作业能力，提高审计效能和质量。</w:t>
            </w:r>
          </w:p>
        </w:tc>
        <w:tc>
          <w:tcPr>
            <w:tcW w:w="4166" w:type="dxa"/>
            <w:gridSpan w:val="3"/>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购买数据流量和处理服务，对审计数据进行分析筛选，加强大数据环境下的审计作业能力，助力完成全年审计工作任务，提高审计效能和质量。</w:t>
            </w:r>
          </w:p>
        </w:tc>
        <w:tc>
          <w:tcPr>
            <w:tcW w:w="131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6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36" w:type="dxa"/>
            <w:gridSpan w:val="3"/>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66" w:type="dxa"/>
            <w:gridSpan w:val="3"/>
            <w:vMerge w:val="continue"/>
            <w:tcBorders>
              <w:top w:val="single" w:color="000000" w:sz="4" w:space="0"/>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5" w:hRule="atLeast"/>
        </w:trPr>
        <w:tc>
          <w:tcPr>
            <w:tcW w:w="114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36" w:type="dxa"/>
            <w:gridSpan w:val="3"/>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4166" w:type="dxa"/>
            <w:gridSpan w:val="3"/>
            <w:vMerge w:val="continue"/>
            <w:tcBorders>
              <w:top w:val="single" w:color="000000" w:sz="4" w:space="0"/>
              <w:left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1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5" w:hRule="atLeast"/>
        </w:trPr>
        <w:tc>
          <w:tcPr>
            <w:tcW w:w="1149"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Style w:val="29"/>
                <w:lang w:val="en-US" w:eastAsia="zh-CN" w:bidi="ar"/>
              </w:rPr>
              <w:t>四、</w:t>
            </w:r>
            <w:r>
              <w:rPr>
                <w:rStyle w:val="30"/>
                <w:rFonts w:eastAsia="宋体"/>
                <w:lang w:val="en-US" w:eastAsia="zh-CN" w:bidi="ar"/>
              </w:rPr>
              <w:t xml:space="preserve"> </w:t>
            </w:r>
            <w:r>
              <w:rPr>
                <w:rStyle w:val="29"/>
                <w:lang w:val="en-US" w:eastAsia="zh-CN" w:bidi="ar"/>
              </w:rPr>
              <w:t>年度绩效指标完成情况</w:t>
            </w: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提取数据单位数量</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≥800个 </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1413个</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数据处理质量</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审计数据处理完成时间</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≤138万元</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110.66万元</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5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审计作业能力提升</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7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6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10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≥90 %</w:t>
            </w:r>
          </w:p>
        </w:tc>
        <w:tc>
          <w:tcPr>
            <w:tcW w:w="176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49"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800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31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97.2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005" w:hRule="atLeast"/>
        </w:trPr>
        <w:tc>
          <w:tcPr>
            <w:tcW w:w="1149"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Style w:val="29"/>
                <w:lang w:val="en-US" w:eastAsia="zh-CN" w:bidi="ar"/>
              </w:rPr>
              <w:t>五、</w:t>
            </w:r>
            <w:r>
              <w:rPr>
                <w:rStyle w:val="30"/>
                <w:rFonts w:eastAsia="宋体"/>
                <w:lang w:val="en-US" w:eastAsia="zh-CN" w:bidi="ar"/>
              </w:rPr>
              <w:t xml:space="preserve"> </w:t>
            </w:r>
            <w:r>
              <w:rPr>
                <w:rStyle w:val="29"/>
                <w:lang w:val="en-US" w:eastAsia="zh-CN" w:bidi="ar"/>
              </w:rPr>
              <w:t>存在问题、原因及下一步整改措施</w:t>
            </w:r>
          </w:p>
        </w:tc>
        <w:tc>
          <w:tcPr>
            <w:tcW w:w="931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降低数据使用成本，提高数据分析效率，提升大数据审计应用能力，提高业务+技术复合型人才覆盖率，进一步加强大数据环境下的审计作业能力，提高审计效能和质量。</w:t>
            </w:r>
          </w:p>
        </w:tc>
      </w:tr>
    </w:tbl>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p>
    <w:p>
      <w:pPr>
        <w:pStyle w:val="12"/>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聘用审计专业人员劳务费用</w:t>
      </w:r>
    </w:p>
    <w:p>
      <w:pPr>
        <w:pStyle w:val="10"/>
        <w:rPr>
          <w:rFonts w:hint="eastAsia"/>
          <w:lang w:val="en-US" w:eastAsia="zh-CN"/>
        </w:rPr>
      </w:pPr>
    </w:p>
    <w:tbl>
      <w:tblPr>
        <w:tblStyle w:val="16"/>
        <w:tblW w:w="1040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7"/>
        <w:gridCol w:w="1210"/>
        <w:gridCol w:w="1217"/>
        <w:gridCol w:w="1210"/>
        <w:gridCol w:w="1327"/>
        <w:gridCol w:w="1045"/>
        <w:gridCol w:w="1327"/>
        <w:gridCol w:w="198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06"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10406"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087"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1210"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17" w:type="dxa"/>
            <w:shd w:val="clear" w:color="auto" w:fill="auto"/>
            <w:vAlign w:val="center"/>
          </w:tcPr>
          <w:p>
            <w:pPr>
              <w:jc w:val="center"/>
              <w:rPr>
                <w:rFonts w:hint="eastAsia" w:ascii="宋体" w:hAnsi="宋体" w:eastAsia="宋体" w:cs="宋体"/>
                <w:i w:val="0"/>
                <w:color w:val="000000"/>
                <w:sz w:val="16"/>
                <w:szCs w:val="16"/>
                <w:u w:val="none"/>
              </w:rPr>
            </w:pPr>
          </w:p>
        </w:tc>
        <w:tc>
          <w:tcPr>
            <w:tcW w:w="1210" w:type="dxa"/>
            <w:shd w:val="clear" w:color="auto" w:fill="auto"/>
            <w:vAlign w:val="center"/>
          </w:tcPr>
          <w:p>
            <w:pPr>
              <w:jc w:val="center"/>
              <w:rPr>
                <w:rFonts w:hint="eastAsia" w:ascii="宋体" w:hAnsi="宋体" w:eastAsia="宋体" w:cs="宋体"/>
                <w:i w:val="0"/>
                <w:color w:val="000000"/>
                <w:sz w:val="16"/>
                <w:szCs w:val="16"/>
                <w:u w:val="none"/>
              </w:rPr>
            </w:pPr>
          </w:p>
        </w:tc>
        <w:tc>
          <w:tcPr>
            <w:tcW w:w="1327" w:type="dxa"/>
            <w:shd w:val="clear" w:color="auto" w:fill="auto"/>
            <w:vAlign w:val="center"/>
          </w:tcPr>
          <w:p>
            <w:pPr>
              <w:jc w:val="center"/>
              <w:rPr>
                <w:rFonts w:hint="eastAsia" w:ascii="宋体" w:hAnsi="宋体" w:eastAsia="宋体" w:cs="宋体"/>
                <w:i w:val="0"/>
                <w:color w:val="000000"/>
                <w:sz w:val="16"/>
                <w:szCs w:val="16"/>
                <w:u w:val="none"/>
              </w:rPr>
            </w:pPr>
          </w:p>
        </w:tc>
        <w:tc>
          <w:tcPr>
            <w:tcW w:w="1045" w:type="dxa"/>
            <w:shd w:val="clear" w:color="auto" w:fill="auto"/>
            <w:vAlign w:val="center"/>
          </w:tcPr>
          <w:p>
            <w:pPr>
              <w:jc w:val="center"/>
              <w:rPr>
                <w:rFonts w:hint="eastAsia" w:ascii="宋体" w:hAnsi="宋体" w:eastAsia="宋体" w:cs="宋体"/>
                <w:i w:val="0"/>
                <w:color w:val="000000"/>
                <w:sz w:val="16"/>
                <w:szCs w:val="16"/>
                <w:u w:val="none"/>
              </w:rPr>
            </w:pPr>
          </w:p>
        </w:tc>
        <w:tc>
          <w:tcPr>
            <w:tcW w:w="1327" w:type="dxa"/>
            <w:shd w:val="clear" w:color="auto" w:fill="auto"/>
            <w:vAlign w:val="center"/>
          </w:tcPr>
          <w:p>
            <w:pPr>
              <w:jc w:val="center"/>
              <w:rPr>
                <w:rFonts w:hint="eastAsia" w:ascii="宋体" w:hAnsi="宋体" w:eastAsia="宋体" w:cs="宋体"/>
                <w:i w:val="0"/>
                <w:color w:val="000000"/>
                <w:sz w:val="16"/>
                <w:szCs w:val="16"/>
                <w:u w:val="none"/>
              </w:rPr>
            </w:pPr>
          </w:p>
        </w:tc>
        <w:tc>
          <w:tcPr>
            <w:tcW w:w="198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08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聘用审计专业人员劳务费用</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435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42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3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9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w:t>
            </w: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08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63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69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5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3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通过聘用劳务派遣人员，加强审计力量，提高审计业务质量。</w:t>
            </w:r>
          </w:p>
        </w:tc>
        <w:tc>
          <w:tcPr>
            <w:tcW w:w="369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聘用人员均已到岗，开展审计工作，强化审计力量，助力完成审计任务。</w:t>
            </w:r>
          </w:p>
        </w:tc>
        <w:tc>
          <w:tcPr>
            <w:tcW w:w="198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3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35" w:hRule="atLeast"/>
        </w:trPr>
        <w:tc>
          <w:tcPr>
            <w:tcW w:w="108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3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69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98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9" w:hRule="atLeast"/>
        </w:trPr>
        <w:tc>
          <w:tcPr>
            <w:tcW w:w="1087"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1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1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537"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4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32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983"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聘用劳务派遣人员数量</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≤20人</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18人</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聘用人员及时到岗率</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聘用人员时间</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≤115.83万元</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75.88万元</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15"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服务效果</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按时发放劳务聘用人员工资，提高服务水平</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1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5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主管单位对聘用人员满意度</w:t>
            </w:r>
          </w:p>
        </w:tc>
        <w:tc>
          <w:tcPr>
            <w:tcW w:w="104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32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4" w:hRule="atLeast"/>
        </w:trPr>
        <w:tc>
          <w:tcPr>
            <w:tcW w:w="1087"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336"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98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3" w:hRule="atLeast"/>
        </w:trPr>
        <w:tc>
          <w:tcPr>
            <w:tcW w:w="1087"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931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无</w:t>
            </w:r>
          </w:p>
        </w:tc>
      </w:tr>
    </w:tbl>
    <w:p>
      <w:pPr>
        <w:pStyle w:val="10"/>
        <w:rPr>
          <w:rFonts w:hint="eastAsia" w:ascii="Times New Roman" w:eastAsia="仿宋_GB2312" w:cs="宋体" w:hAnsiTheme="minorHAnsi"/>
          <w:b/>
          <w:color w:val="auto"/>
          <w:kern w:val="0"/>
          <w:sz w:val="32"/>
          <w:szCs w:val="32"/>
          <w:lang w:val="en-US" w:eastAsia="zh-CN" w:bidi="ar-SA"/>
        </w:rPr>
      </w:pPr>
    </w:p>
    <w:p>
      <w:pPr>
        <w:pStyle w:val="10"/>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提前下达2024年中央审计人员培训专项补助经费</w:t>
      </w:r>
    </w:p>
    <w:p>
      <w:pPr>
        <w:rPr>
          <w:rFonts w:hint="eastAsia"/>
          <w:lang w:val="en-US" w:eastAsia="zh-CN"/>
        </w:rPr>
      </w:pPr>
    </w:p>
    <w:tbl>
      <w:tblPr>
        <w:tblStyle w:val="16"/>
        <w:tblW w:w="1124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05"/>
        <w:gridCol w:w="1232"/>
        <w:gridCol w:w="1222"/>
        <w:gridCol w:w="1372"/>
        <w:gridCol w:w="1372"/>
        <w:gridCol w:w="1472"/>
        <w:gridCol w:w="1467"/>
        <w:gridCol w:w="20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1247"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11247"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10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1232"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222" w:type="dxa"/>
            <w:shd w:val="clear" w:color="auto" w:fill="auto"/>
            <w:vAlign w:val="center"/>
          </w:tcPr>
          <w:p>
            <w:pPr>
              <w:jc w:val="center"/>
              <w:rPr>
                <w:rFonts w:hint="eastAsia" w:ascii="宋体" w:hAnsi="宋体" w:eastAsia="宋体" w:cs="宋体"/>
                <w:i w:val="0"/>
                <w:color w:val="000000"/>
                <w:sz w:val="16"/>
                <w:szCs w:val="16"/>
                <w:u w:val="none"/>
              </w:rPr>
            </w:pPr>
          </w:p>
        </w:tc>
        <w:tc>
          <w:tcPr>
            <w:tcW w:w="1372" w:type="dxa"/>
            <w:shd w:val="clear" w:color="auto" w:fill="auto"/>
            <w:vAlign w:val="center"/>
          </w:tcPr>
          <w:p>
            <w:pPr>
              <w:jc w:val="center"/>
              <w:rPr>
                <w:rFonts w:hint="eastAsia" w:ascii="宋体" w:hAnsi="宋体" w:eastAsia="宋体" w:cs="宋体"/>
                <w:i w:val="0"/>
                <w:color w:val="000000"/>
                <w:sz w:val="16"/>
                <w:szCs w:val="16"/>
                <w:u w:val="none"/>
              </w:rPr>
            </w:pPr>
          </w:p>
        </w:tc>
        <w:tc>
          <w:tcPr>
            <w:tcW w:w="1372" w:type="dxa"/>
            <w:shd w:val="clear" w:color="auto" w:fill="auto"/>
            <w:vAlign w:val="center"/>
          </w:tcPr>
          <w:p>
            <w:pPr>
              <w:jc w:val="center"/>
              <w:rPr>
                <w:rFonts w:hint="eastAsia" w:ascii="宋体" w:hAnsi="宋体" w:eastAsia="宋体" w:cs="宋体"/>
                <w:i w:val="0"/>
                <w:color w:val="000000"/>
                <w:sz w:val="16"/>
                <w:szCs w:val="16"/>
                <w:u w:val="none"/>
              </w:rPr>
            </w:pPr>
          </w:p>
        </w:tc>
        <w:tc>
          <w:tcPr>
            <w:tcW w:w="1472" w:type="dxa"/>
            <w:shd w:val="clear" w:color="auto" w:fill="auto"/>
            <w:vAlign w:val="center"/>
          </w:tcPr>
          <w:p>
            <w:pPr>
              <w:jc w:val="center"/>
              <w:rPr>
                <w:rFonts w:hint="eastAsia" w:ascii="宋体" w:hAnsi="宋体" w:eastAsia="宋体" w:cs="宋体"/>
                <w:i w:val="0"/>
                <w:color w:val="000000"/>
                <w:sz w:val="16"/>
                <w:szCs w:val="16"/>
                <w:u w:val="none"/>
              </w:rPr>
            </w:pPr>
          </w:p>
        </w:tc>
        <w:tc>
          <w:tcPr>
            <w:tcW w:w="1467" w:type="dxa"/>
            <w:shd w:val="clear" w:color="auto" w:fill="auto"/>
            <w:vAlign w:val="center"/>
          </w:tcPr>
          <w:p>
            <w:pPr>
              <w:jc w:val="center"/>
              <w:rPr>
                <w:rFonts w:hint="eastAsia" w:ascii="宋体" w:hAnsi="宋体" w:eastAsia="宋体" w:cs="宋体"/>
                <w:i w:val="0"/>
                <w:color w:val="000000"/>
                <w:sz w:val="16"/>
                <w:szCs w:val="16"/>
                <w:u w:val="none"/>
              </w:rPr>
            </w:pPr>
          </w:p>
        </w:tc>
        <w:tc>
          <w:tcPr>
            <w:tcW w:w="2005"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Style w:val="31"/>
                <w:rFonts w:eastAsia="宋体"/>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59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提前下达2024年中央审计人员培训专项补助经费</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494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11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45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93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2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w:t>
            </w: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7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110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82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31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110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2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通过开展审计专业知识培训，提升审计队伍业务素质、增强责任意识、提高实际操作水平；通过计算机知识培训，增强审计人员运用大数据进行审计分析的能力，实现科技强审的目标。</w:t>
            </w:r>
          </w:p>
        </w:tc>
        <w:tc>
          <w:tcPr>
            <w:tcW w:w="4311"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开展审计质量提升、审计能力提升、全市内审交流培训等相关培训，提升审计人员综合素质，促进审计工作提质增效；开展了全市审计系统大数据培训班，提升了全市审计系统大数据审计分析能力，促进大数据审计人才队伍建设。</w:t>
            </w:r>
          </w:p>
        </w:tc>
        <w:tc>
          <w:tcPr>
            <w:tcW w:w="20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110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31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110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82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311"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20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Style w:val="31"/>
                <w:rFonts w:eastAsia="宋体"/>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32" w:type="dxa"/>
            <w:tcBorders>
              <w:top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22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744"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47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46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200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培训期数</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≥2期</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6期</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受训人员合格率</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≥95%</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培训完成及时情况</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培训计划是否如期完成</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4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人均培训成本</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培训费文件规定标准值</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依据《石家庄市级机关培训费管理办法》，在规定标准内。</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15"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4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提升业务水平</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提升审计人员业务水平效果</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32"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74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受训人员满意度</w:t>
            </w:r>
          </w:p>
        </w:tc>
        <w:tc>
          <w:tcPr>
            <w:tcW w:w="147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≥95%</w:t>
            </w:r>
          </w:p>
        </w:tc>
        <w:tc>
          <w:tcPr>
            <w:tcW w:w="146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11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8137" w:type="dxa"/>
            <w:gridSpan w:val="6"/>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2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60" w:hRule="atLeast"/>
        </w:trPr>
        <w:tc>
          <w:tcPr>
            <w:tcW w:w="1105" w:type="dxa"/>
            <w:tcBorders>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Style w:val="31"/>
                <w:rFonts w:eastAsia="宋体"/>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1014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无</w:t>
            </w:r>
          </w:p>
        </w:tc>
      </w:tr>
    </w:tbl>
    <w:p>
      <w:pPr>
        <w:rPr>
          <w:rFonts w:hint="eastAsia"/>
          <w:lang w:val="en-US" w:eastAsia="zh-CN"/>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提前下达2024年信息系统运行维护专项补助经费</w:t>
      </w:r>
    </w:p>
    <w:p>
      <w:pPr>
        <w:rPr>
          <w:rFonts w:hint="eastAsia" w:ascii="Times New Roman" w:eastAsia="仿宋_GB2312" w:cs="宋体" w:hAnsiTheme="minorHAnsi"/>
          <w:b/>
          <w:color w:val="auto"/>
          <w:kern w:val="0"/>
          <w:sz w:val="32"/>
          <w:szCs w:val="32"/>
          <w:lang w:val="en-US" w:eastAsia="zh-CN" w:bidi="ar-SA"/>
        </w:rPr>
      </w:pPr>
    </w:p>
    <w:tbl>
      <w:tblPr>
        <w:tblStyle w:val="16"/>
        <w:tblW w:w="997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15"/>
        <w:gridCol w:w="1154"/>
        <w:gridCol w:w="1131"/>
        <w:gridCol w:w="1231"/>
        <w:gridCol w:w="1231"/>
        <w:gridCol w:w="1394"/>
        <w:gridCol w:w="1359"/>
        <w:gridCol w:w="185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71"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9971"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615"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115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131" w:type="dxa"/>
            <w:shd w:val="clear" w:color="auto" w:fill="auto"/>
            <w:vAlign w:val="center"/>
          </w:tcPr>
          <w:p>
            <w:pPr>
              <w:jc w:val="center"/>
              <w:rPr>
                <w:rFonts w:hint="eastAsia" w:ascii="宋体" w:hAnsi="宋体" w:eastAsia="宋体" w:cs="宋体"/>
                <w:i w:val="0"/>
                <w:color w:val="000000"/>
                <w:sz w:val="16"/>
                <w:szCs w:val="16"/>
                <w:u w:val="none"/>
              </w:rPr>
            </w:pPr>
          </w:p>
        </w:tc>
        <w:tc>
          <w:tcPr>
            <w:tcW w:w="1231" w:type="dxa"/>
            <w:shd w:val="clear" w:color="auto" w:fill="auto"/>
            <w:vAlign w:val="center"/>
          </w:tcPr>
          <w:p>
            <w:pPr>
              <w:jc w:val="center"/>
              <w:rPr>
                <w:rFonts w:hint="eastAsia" w:ascii="宋体" w:hAnsi="宋体" w:eastAsia="宋体" w:cs="宋体"/>
                <w:i w:val="0"/>
                <w:color w:val="000000"/>
                <w:sz w:val="16"/>
                <w:szCs w:val="16"/>
                <w:u w:val="none"/>
              </w:rPr>
            </w:pPr>
          </w:p>
        </w:tc>
        <w:tc>
          <w:tcPr>
            <w:tcW w:w="1231" w:type="dxa"/>
            <w:shd w:val="clear" w:color="auto" w:fill="auto"/>
            <w:vAlign w:val="center"/>
          </w:tcPr>
          <w:p>
            <w:pPr>
              <w:jc w:val="center"/>
              <w:rPr>
                <w:rFonts w:hint="eastAsia" w:ascii="宋体" w:hAnsi="宋体" w:eastAsia="宋体" w:cs="宋体"/>
                <w:i w:val="0"/>
                <w:color w:val="000000"/>
                <w:sz w:val="16"/>
                <w:szCs w:val="16"/>
                <w:u w:val="none"/>
              </w:rPr>
            </w:pPr>
          </w:p>
        </w:tc>
        <w:tc>
          <w:tcPr>
            <w:tcW w:w="1394" w:type="dxa"/>
            <w:shd w:val="clear" w:color="auto" w:fill="auto"/>
            <w:vAlign w:val="center"/>
          </w:tcPr>
          <w:p>
            <w:pPr>
              <w:jc w:val="center"/>
              <w:rPr>
                <w:rFonts w:hint="eastAsia" w:ascii="宋体" w:hAnsi="宋体" w:eastAsia="宋体" w:cs="宋体"/>
                <w:i w:val="0"/>
                <w:color w:val="000000"/>
                <w:sz w:val="16"/>
                <w:szCs w:val="16"/>
                <w:u w:val="none"/>
              </w:rPr>
            </w:pPr>
          </w:p>
        </w:tc>
        <w:tc>
          <w:tcPr>
            <w:tcW w:w="1359" w:type="dxa"/>
            <w:shd w:val="clear" w:color="auto" w:fill="auto"/>
            <w:vAlign w:val="center"/>
          </w:tcPr>
          <w:p>
            <w:pPr>
              <w:jc w:val="center"/>
              <w:rPr>
                <w:rFonts w:hint="eastAsia" w:ascii="宋体" w:hAnsi="宋体" w:eastAsia="宋体" w:cs="宋体"/>
                <w:i w:val="0"/>
                <w:color w:val="000000"/>
                <w:sz w:val="16"/>
                <w:szCs w:val="16"/>
                <w:u w:val="none"/>
              </w:rPr>
            </w:pPr>
          </w:p>
        </w:tc>
        <w:tc>
          <w:tcPr>
            <w:tcW w:w="1856"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15"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Style w:val="32"/>
                <w:rFonts w:ascii="宋体" w:hAnsi="宋体" w:eastAsia="宋体" w:cs="宋体"/>
                <w:sz w:val="24"/>
                <w:szCs w:val="24"/>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3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提前下达2024年信息系统运行维护专项补助经费</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460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28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75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w:t>
            </w: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31"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615"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516"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98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61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16"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1.通过金审工程终端和应用系统等建设，加强金审工程三期应用推广。</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2.确保信息系统的正常运行，提高信息化环境下的大数据分析能力和审计监督能力。</w:t>
            </w:r>
          </w:p>
        </w:tc>
        <w:tc>
          <w:tcPr>
            <w:tcW w:w="398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通过金审工程三期应用推广，实现审计数据收集，整理，分析全覆盖。保障了金审三期信息化系统正常运行，建立了整合的，全方位的审计信息化体系，提高了信息化环境下的审计监督能力。</w:t>
            </w:r>
          </w:p>
        </w:tc>
        <w:tc>
          <w:tcPr>
            <w:tcW w:w="185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61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1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9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10" w:hRule="atLeast"/>
        </w:trPr>
        <w:tc>
          <w:tcPr>
            <w:tcW w:w="615"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16"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98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85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61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Style w:val="32"/>
                <w:rFonts w:ascii="宋体" w:hAnsi="宋体" w:eastAsia="宋体" w:cs="宋体"/>
                <w:sz w:val="24"/>
                <w:szCs w:val="24"/>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154" w:type="dxa"/>
            <w:tcBorders>
              <w:top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13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462"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39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35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85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restart"/>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85 %</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验收合格率</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服务响应时效</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≤48小时</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≤48小时</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84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vMerge w:val="continue"/>
            <w:tcBorders>
              <w:top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预算项目控制数数</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≤12万元</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12万元</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15"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14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（40分）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可持续影响指标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保障数据分析网络运行安全通畅</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54"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服务对象满意度指标</w:t>
            </w:r>
          </w:p>
        </w:tc>
        <w:tc>
          <w:tcPr>
            <w:tcW w:w="246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13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95%</w:t>
            </w:r>
          </w:p>
        </w:tc>
        <w:tc>
          <w:tcPr>
            <w:tcW w:w="13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0" w:hRule="atLeast"/>
        </w:trPr>
        <w:tc>
          <w:tcPr>
            <w:tcW w:w="61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500" w:type="dxa"/>
            <w:gridSpan w:val="6"/>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85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default" w:ascii="Calibri" w:hAnsi="Calibri" w:eastAsia="宋体" w:cs="Calibri"/>
                <w:i w:val="0"/>
                <w:color w:val="000000"/>
                <w:sz w:val="21"/>
                <w:szCs w:val="21"/>
                <w:u w:val="none"/>
              </w:rPr>
            </w:pPr>
            <w:r>
              <w:rPr>
                <w:rFonts w:hint="default" w:ascii="Calibri" w:hAnsi="Calibri" w:eastAsia="宋体" w:cs="Calibri"/>
                <w:i w:val="0"/>
                <w:color w:val="000000"/>
                <w:kern w:val="0"/>
                <w:sz w:val="21"/>
                <w:szCs w:val="21"/>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508" w:hRule="atLeast"/>
        </w:trPr>
        <w:tc>
          <w:tcPr>
            <w:tcW w:w="615" w:type="dxa"/>
            <w:tcBorders>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Style w:val="32"/>
                <w:rFonts w:ascii="宋体" w:hAnsi="宋体" w:eastAsia="宋体" w:cs="宋体"/>
                <w:sz w:val="24"/>
                <w:szCs w:val="24"/>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935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无</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办公楼租赁及物业管理费</w:t>
      </w:r>
    </w:p>
    <w:p>
      <w:pPr>
        <w:rPr>
          <w:rFonts w:hint="eastAsia" w:ascii="Times New Roman" w:eastAsia="仿宋_GB2312" w:cs="宋体" w:hAnsiTheme="minorHAnsi"/>
          <w:b/>
          <w:color w:val="auto"/>
          <w:kern w:val="0"/>
          <w:sz w:val="32"/>
          <w:szCs w:val="32"/>
          <w:lang w:val="en-US" w:eastAsia="zh-CN" w:bidi="ar-SA"/>
        </w:rPr>
      </w:pPr>
    </w:p>
    <w:tbl>
      <w:tblPr>
        <w:tblStyle w:val="16"/>
        <w:tblW w:w="10481"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41"/>
        <w:gridCol w:w="1051"/>
        <w:gridCol w:w="1286"/>
        <w:gridCol w:w="1536"/>
        <w:gridCol w:w="1536"/>
        <w:gridCol w:w="1155"/>
        <w:gridCol w:w="1523"/>
        <w:gridCol w:w="135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81"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481"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填报单位：</w:t>
            </w:r>
          </w:p>
        </w:tc>
        <w:tc>
          <w:tcPr>
            <w:tcW w:w="2337"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石家庄市审计局</w:t>
            </w:r>
          </w:p>
        </w:tc>
        <w:tc>
          <w:tcPr>
            <w:tcW w:w="1536" w:type="dxa"/>
            <w:shd w:val="clear" w:color="auto" w:fill="auto"/>
            <w:vAlign w:val="center"/>
          </w:tcPr>
          <w:p>
            <w:pPr>
              <w:jc w:val="center"/>
              <w:rPr>
                <w:rFonts w:hint="eastAsia" w:ascii="宋体" w:hAnsi="宋体" w:eastAsia="宋体" w:cs="宋体"/>
                <w:i w:val="0"/>
                <w:color w:val="000000"/>
                <w:sz w:val="18"/>
                <w:szCs w:val="18"/>
                <w:u w:val="none"/>
              </w:rPr>
            </w:pPr>
          </w:p>
        </w:tc>
        <w:tc>
          <w:tcPr>
            <w:tcW w:w="1536" w:type="dxa"/>
            <w:shd w:val="clear" w:color="auto" w:fill="auto"/>
            <w:vAlign w:val="center"/>
          </w:tcPr>
          <w:p>
            <w:pPr>
              <w:jc w:val="center"/>
              <w:rPr>
                <w:rFonts w:hint="eastAsia" w:ascii="宋体" w:hAnsi="宋体" w:eastAsia="宋体" w:cs="宋体"/>
                <w:i w:val="0"/>
                <w:color w:val="000000"/>
                <w:sz w:val="18"/>
                <w:szCs w:val="18"/>
                <w:u w:val="none"/>
              </w:rPr>
            </w:pPr>
          </w:p>
        </w:tc>
        <w:tc>
          <w:tcPr>
            <w:tcW w:w="1155" w:type="dxa"/>
            <w:shd w:val="clear" w:color="auto" w:fill="auto"/>
            <w:vAlign w:val="center"/>
          </w:tcPr>
          <w:p>
            <w:pPr>
              <w:jc w:val="center"/>
              <w:rPr>
                <w:rFonts w:hint="eastAsia" w:ascii="宋体" w:hAnsi="宋体" w:eastAsia="宋体" w:cs="宋体"/>
                <w:i w:val="0"/>
                <w:color w:val="000000"/>
                <w:sz w:val="18"/>
                <w:szCs w:val="18"/>
                <w:u w:val="none"/>
              </w:rPr>
            </w:pPr>
          </w:p>
        </w:tc>
        <w:tc>
          <w:tcPr>
            <w:tcW w:w="1523" w:type="dxa"/>
            <w:shd w:val="clear" w:color="auto" w:fill="auto"/>
            <w:vAlign w:val="center"/>
          </w:tcPr>
          <w:p>
            <w:pPr>
              <w:jc w:val="center"/>
              <w:rPr>
                <w:rFonts w:hint="eastAsia" w:ascii="宋体" w:hAnsi="宋体" w:eastAsia="宋体" w:cs="宋体"/>
                <w:i w:val="0"/>
                <w:color w:val="000000"/>
                <w:sz w:val="18"/>
                <w:szCs w:val="18"/>
                <w:u w:val="none"/>
              </w:rPr>
            </w:pPr>
          </w:p>
        </w:tc>
        <w:tc>
          <w:tcPr>
            <w:tcW w:w="1353"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tcBorders>
              <w:top w:val="single" w:color="000000" w:sz="4" w:space="0"/>
              <w:lef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 基本情况</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项目名称</w:t>
            </w:r>
          </w:p>
        </w:tc>
        <w:tc>
          <w:tcPr>
            <w:tcW w:w="28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办公楼租赁及物业管理费</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实施(主管）单位</w:t>
            </w:r>
          </w:p>
        </w:tc>
        <w:tc>
          <w:tcPr>
            <w:tcW w:w="403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04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二、预算执行情况</w:t>
            </w:r>
          </w:p>
        </w:tc>
        <w:tc>
          <w:tcPr>
            <w:tcW w:w="2337"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预算安排情况（调整后）</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资金到位情况</w:t>
            </w:r>
          </w:p>
        </w:tc>
        <w:tc>
          <w:tcPr>
            <w:tcW w:w="26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资金执行情况</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5"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预算数：</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到位数：</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执行数：</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72.75</w:t>
            </w:r>
          </w:p>
        </w:tc>
        <w:tc>
          <w:tcPr>
            <w:tcW w:w="13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其中：财政资金</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其中：财政资金</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其中：财政资金</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72.75</w:t>
            </w: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5"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w:t>
            </w:r>
          </w:p>
        </w:tc>
        <w:tc>
          <w:tcPr>
            <w:tcW w:w="153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其他</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8"/>
                <w:szCs w:val="18"/>
                <w:u w:val="none"/>
              </w:rPr>
            </w:pP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三、目标完成情况</w:t>
            </w:r>
          </w:p>
        </w:tc>
        <w:tc>
          <w:tcPr>
            <w:tcW w:w="387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年度预期目标</w:t>
            </w:r>
          </w:p>
        </w:tc>
        <w:tc>
          <w:tcPr>
            <w:tcW w:w="4214"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具体完成情况</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387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租赁西配楼部分办公用房，保障机关正常运行。</w:t>
            </w:r>
          </w:p>
        </w:tc>
        <w:tc>
          <w:tcPr>
            <w:tcW w:w="4214"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租赁西配楼办公用房，支付租赁费及物业管理费，保障办公安全，办公区域稳定，办公环境整洁。</w:t>
            </w:r>
          </w:p>
        </w:tc>
        <w:tc>
          <w:tcPr>
            <w:tcW w:w="1353"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5"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387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4214"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8"/>
                <w:szCs w:val="18"/>
                <w:u w:val="none"/>
              </w:rPr>
            </w:pPr>
          </w:p>
        </w:tc>
        <w:tc>
          <w:tcPr>
            <w:tcW w:w="1353"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四、 年度绩效指标完成情况</w:t>
            </w: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一级指标</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二级指标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三级指标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预期指标值</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实际完成值</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产出指标（40）</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数量指标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办公用房租赁面积</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1058.38平方米</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1058.38平方米</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质量指标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物业服务及时率</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90%</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时效指标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办公用房租赁完成时间</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2024年12月31日前</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2024年12月31日前</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成本指标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项目总成本</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≤75万元</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72.75万元</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预算执行率指标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（10分）</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“预算执行率”指标自评得分=预算执行进度*10。</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100.00%</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效益指标（40）</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社会效益指标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租赁办公用房正常使用，保障机关运行</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良好保障</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良好保障</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10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（10分）</w:t>
            </w:r>
          </w:p>
        </w:tc>
        <w:tc>
          <w:tcPr>
            <w:tcW w:w="12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满意度指标</w:t>
            </w:r>
          </w:p>
        </w:tc>
        <w:tc>
          <w:tcPr>
            <w:tcW w:w="307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办公人员对租赁办公用房满意度</w:t>
            </w:r>
          </w:p>
        </w:tc>
        <w:tc>
          <w:tcPr>
            <w:tcW w:w="115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 90%</w:t>
            </w:r>
          </w:p>
        </w:tc>
        <w:tc>
          <w:tcPr>
            <w:tcW w:w="152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100%</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041"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8"/>
                <w:szCs w:val="18"/>
                <w:u w:val="none"/>
              </w:rPr>
            </w:pPr>
          </w:p>
        </w:tc>
        <w:tc>
          <w:tcPr>
            <w:tcW w:w="8087"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总分</w:t>
            </w:r>
          </w:p>
        </w:tc>
        <w:tc>
          <w:tcPr>
            <w:tcW w:w="13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97.7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04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五、 存在问题、原因及下一步整改措施</w:t>
            </w:r>
          </w:p>
        </w:tc>
        <w:tc>
          <w:tcPr>
            <w:tcW w:w="944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坚持“厉行节约、有效利用”的原则，严格遵照市级财政专项资金预算支出标准，进一步规范明确服务范围、费用构成等合同条款，提高资金效益。</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办公设备购置</w:t>
      </w:r>
    </w:p>
    <w:p>
      <w:pPr>
        <w:rPr>
          <w:rFonts w:hint="eastAsia" w:ascii="Times New Roman" w:eastAsia="仿宋_GB2312" w:cs="宋体" w:hAnsiTheme="minorHAnsi"/>
          <w:b/>
          <w:color w:val="auto"/>
          <w:kern w:val="0"/>
          <w:sz w:val="32"/>
          <w:szCs w:val="32"/>
          <w:lang w:val="en-US" w:eastAsia="zh-CN" w:bidi="ar-SA"/>
        </w:rPr>
      </w:pPr>
    </w:p>
    <w:tbl>
      <w:tblPr>
        <w:tblStyle w:val="16"/>
        <w:tblW w:w="100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26"/>
        <w:gridCol w:w="1028"/>
        <w:gridCol w:w="1028"/>
        <w:gridCol w:w="1013"/>
        <w:gridCol w:w="1000"/>
        <w:gridCol w:w="1519"/>
        <w:gridCol w:w="1504"/>
        <w:gridCol w:w="135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0076" w:type="dxa"/>
            <w:gridSpan w:val="8"/>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40"/>
                <w:szCs w:val="40"/>
                <w:u w:val="none"/>
              </w:rPr>
            </w:pPr>
            <w:r>
              <w:rPr>
                <w:rFonts w:hint="eastAsia" w:ascii="宋体" w:hAnsi="宋体" w:eastAsia="宋体" w:cs="宋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10076"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162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2056"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013" w:type="dxa"/>
            <w:shd w:val="clear" w:color="auto" w:fill="auto"/>
            <w:vAlign w:val="center"/>
          </w:tcPr>
          <w:p>
            <w:pPr>
              <w:jc w:val="center"/>
              <w:rPr>
                <w:rFonts w:hint="eastAsia" w:ascii="宋体" w:hAnsi="宋体" w:eastAsia="宋体" w:cs="宋体"/>
                <w:i w:val="0"/>
                <w:color w:val="000000"/>
                <w:sz w:val="16"/>
                <w:szCs w:val="16"/>
                <w:u w:val="none"/>
              </w:rPr>
            </w:pPr>
          </w:p>
        </w:tc>
        <w:tc>
          <w:tcPr>
            <w:tcW w:w="1000" w:type="dxa"/>
            <w:shd w:val="clear" w:color="auto" w:fill="auto"/>
            <w:vAlign w:val="center"/>
          </w:tcPr>
          <w:p>
            <w:pPr>
              <w:jc w:val="center"/>
              <w:rPr>
                <w:rFonts w:hint="eastAsia" w:ascii="宋体" w:hAnsi="宋体" w:eastAsia="宋体" w:cs="宋体"/>
                <w:i w:val="0"/>
                <w:color w:val="000000"/>
                <w:sz w:val="16"/>
                <w:szCs w:val="16"/>
                <w:u w:val="none"/>
              </w:rPr>
            </w:pPr>
          </w:p>
        </w:tc>
        <w:tc>
          <w:tcPr>
            <w:tcW w:w="1519" w:type="dxa"/>
            <w:shd w:val="clear" w:color="auto" w:fill="auto"/>
            <w:vAlign w:val="center"/>
          </w:tcPr>
          <w:p>
            <w:pPr>
              <w:jc w:val="center"/>
              <w:rPr>
                <w:rFonts w:hint="eastAsia" w:ascii="宋体" w:hAnsi="宋体" w:eastAsia="宋体" w:cs="宋体"/>
                <w:i w:val="0"/>
                <w:color w:val="000000"/>
                <w:sz w:val="16"/>
                <w:szCs w:val="16"/>
                <w:u w:val="none"/>
              </w:rPr>
            </w:pPr>
          </w:p>
        </w:tc>
        <w:tc>
          <w:tcPr>
            <w:tcW w:w="1504" w:type="dxa"/>
            <w:shd w:val="clear" w:color="auto" w:fill="auto"/>
            <w:vAlign w:val="center"/>
          </w:tcPr>
          <w:p>
            <w:pPr>
              <w:jc w:val="center"/>
              <w:rPr>
                <w:rFonts w:hint="eastAsia" w:ascii="宋体" w:hAnsi="宋体" w:eastAsia="宋体" w:cs="宋体"/>
                <w:i w:val="0"/>
                <w:color w:val="000000"/>
                <w:sz w:val="16"/>
                <w:szCs w:val="16"/>
                <w:u w:val="none"/>
              </w:rPr>
            </w:pPr>
          </w:p>
        </w:tc>
        <w:tc>
          <w:tcPr>
            <w:tcW w:w="1358"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04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办公设备购置</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4381"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05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302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176.77</w:t>
            </w:r>
          </w:p>
        </w:tc>
        <w:tc>
          <w:tcPr>
            <w:tcW w:w="13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98.61%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05"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179.27</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176.77</w:t>
            </w: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01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00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06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402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3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069"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通过购置办公设备，满足设备更新、新增人员办公、办公环境升级需要，保障工作正常开展，提高履职效率。</w:t>
            </w:r>
          </w:p>
        </w:tc>
        <w:tc>
          <w:tcPr>
            <w:tcW w:w="402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购置笔记本、服务器、打印机等设备，购置文件柜、办公桌椅等办公家具，及时更新、更换办公设备，改善办公环境，提高工作效率，提升单位管理水平。</w:t>
            </w:r>
          </w:p>
        </w:tc>
        <w:tc>
          <w:tcPr>
            <w:tcW w:w="135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75"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06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0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195"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069"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402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35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 年度绩效指标完成情况</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采购笔记本数量</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≥20台</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50台</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采购物品验收合格率</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采购完成时间</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采购总成本</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≤189.27万元 </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176.77万元</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98.61%</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提高履职基础</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良好保障</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02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01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工作人员满意度</w:t>
            </w:r>
          </w:p>
        </w:tc>
        <w:tc>
          <w:tcPr>
            <w:tcW w:w="15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092"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35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0" w:hRule="atLeast"/>
        </w:trPr>
        <w:tc>
          <w:tcPr>
            <w:tcW w:w="16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 存在问题、原因及下一步整改措施</w:t>
            </w:r>
          </w:p>
        </w:tc>
        <w:tc>
          <w:tcPr>
            <w:tcW w:w="8450"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加强项目相关单位的联合沟通，继续加大对需求-预算-采购-验收环节的动态监管，保证资金的使用效益，改善办公环境，提高工作效率。</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党组织活动经费</w:t>
      </w:r>
    </w:p>
    <w:p>
      <w:pPr>
        <w:rPr>
          <w:rFonts w:hint="eastAsia" w:ascii="Times New Roman" w:eastAsia="仿宋_GB2312" w:cs="宋体" w:hAnsiTheme="minorHAnsi"/>
          <w:b/>
          <w:color w:val="auto"/>
          <w:kern w:val="0"/>
          <w:sz w:val="32"/>
          <w:szCs w:val="32"/>
          <w:lang w:val="en-US" w:eastAsia="zh-CN" w:bidi="ar-SA"/>
        </w:rPr>
      </w:pPr>
    </w:p>
    <w:tbl>
      <w:tblPr>
        <w:tblStyle w:val="16"/>
        <w:tblW w:w="970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086"/>
        <w:gridCol w:w="1326"/>
        <w:gridCol w:w="1303"/>
        <w:gridCol w:w="1303"/>
        <w:gridCol w:w="932"/>
        <w:gridCol w:w="931"/>
        <w:gridCol w:w="1530"/>
        <w:gridCol w:w="129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702"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00" w:hRule="atLeast"/>
        </w:trPr>
        <w:tc>
          <w:tcPr>
            <w:tcW w:w="9702"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0" w:hRule="atLeast"/>
        </w:trPr>
        <w:tc>
          <w:tcPr>
            <w:tcW w:w="108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2629"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303" w:type="dxa"/>
            <w:shd w:val="clear" w:color="auto" w:fill="auto"/>
            <w:vAlign w:val="center"/>
          </w:tcPr>
          <w:p>
            <w:pPr>
              <w:jc w:val="center"/>
              <w:rPr>
                <w:rFonts w:hint="eastAsia" w:ascii="宋体" w:hAnsi="宋体" w:eastAsia="宋体" w:cs="宋体"/>
                <w:i w:val="0"/>
                <w:color w:val="000000"/>
                <w:sz w:val="16"/>
                <w:szCs w:val="16"/>
                <w:u w:val="none"/>
              </w:rPr>
            </w:pPr>
          </w:p>
        </w:tc>
        <w:tc>
          <w:tcPr>
            <w:tcW w:w="932" w:type="dxa"/>
            <w:shd w:val="clear" w:color="auto" w:fill="auto"/>
            <w:vAlign w:val="center"/>
          </w:tcPr>
          <w:p>
            <w:pPr>
              <w:jc w:val="center"/>
              <w:rPr>
                <w:rFonts w:hint="eastAsia" w:ascii="宋体" w:hAnsi="宋体" w:eastAsia="宋体" w:cs="宋体"/>
                <w:i w:val="0"/>
                <w:color w:val="000000"/>
                <w:sz w:val="16"/>
                <w:szCs w:val="16"/>
                <w:u w:val="none"/>
              </w:rPr>
            </w:pPr>
          </w:p>
        </w:tc>
        <w:tc>
          <w:tcPr>
            <w:tcW w:w="931" w:type="dxa"/>
            <w:shd w:val="clear" w:color="auto" w:fill="auto"/>
            <w:vAlign w:val="center"/>
          </w:tcPr>
          <w:p>
            <w:pPr>
              <w:jc w:val="center"/>
              <w:rPr>
                <w:rFonts w:hint="eastAsia" w:ascii="宋体" w:hAnsi="宋体" w:eastAsia="宋体" w:cs="宋体"/>
                <w:i w:val="0"/>
                <w:color w:val="000000"/>
                <w:sz w:val="16"/>
                <w:szCs w:val="16"/>
                <w:u w:val="none"/>
              </w:rPr>
            </w:pPr>
          </w:p>
        </w:tc>
        <w:tc>
          <w:tcPr>
            <w:tcW w:w="1530" w:type="dxa"/>
            <w:shd w:val="clear" w:color="auto" w:fill="auto"/>
            <w:vAlign w:val="center"/>
          </w:tcPr>
          <w:p>
            <w:pPr>
              <w:jc w:val="center"/>
              <w:rPr>
                <w:rFonts w:hint="eastAsia" w:ascii="宋体" w:hAnsi="宋体" w:eastAsia="宋体" w:cs="宋体"/>
                <w:i w:val="0"/>
                <w:color w:val="000000"/>
                <w:sz w:val="16"/>
                <w:szCs w:val="16"/>
                <w:u w:val="none"/>
              </w:rPr>
            </w:pPr>
          </w:p>
        </w:tc>
        <w:tc>
          <w:tcPr>
            <w:tcW w:w="1291"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08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60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党组织活动经费</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375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62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461"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5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w:t>
            </w: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93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932"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393"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932"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通过组织党员开展各项活动，使基层党组织建设水平全面提高；通过组织党员干部参观、学习、培训，完成省、市委相关党建工作要求，使制度建设更加规范，作风建设进一步改进，廉政建设成效更加显著。</w:t>
            </w:r>
          </w:p>
        </w:tc>
        <w:tc>
          <w:tcPr>
            <w:tcW w:w="3393"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单位党建水平明显提高，党员党性修养得到提升，廉政建设成效显著。</w:t>
            </w:r>
          </w:p>
        </w:tc>
        <w:tc>
          <w:tcPr>
            <w:tcW w:w="1291"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9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39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932"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393"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91"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 年度绩效指标完成情况</w:t>
            </w: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93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5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29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w:t>
            </w:r>
          </w:p>
        </w:tc>
        <w:tc>
          <w:tcPr>
            <w:tcW w:w="1303" w:type="dxa"/>
            <w:tcBorders>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组织培训次数</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≥1次</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1次</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培训费出勤率</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开展培训、组织党员活动完成时间</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235" w:type="dxa"/>
            <w:gridSpan w:val="2"/>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≤13.5万元</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13.5万元</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303" w:type="dxa"/>
            <w:tcBorders>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全年整体支出进度达到95%及以上的，不扣分；当“预算执行进度＜95%”时，“预算执行率”指标自评得分=预算执行进度*10。</w:t>
            </w:r>
          </w:p>
        </w:tc>
        <w:tc>
          <w:tcPr>
            <w:tcW w:w="931"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530" w:type="dxa"/>
            <w:tcBorders>
              <w:left w:val="single" w:color="000000" w:sz="4" w:space="0"/>
              <w:bottom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w:t>
            </w:r>
          </w:p>
        </w:tc>
        <w:tc>
          <w:tcPr>
            <w:tcW w:w="1303" w:type="dxa"/>
            <w:tcBorders>
              <w:top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235"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培养忠诚、干净、担当的党员领导干部</w:t>
            </w:r>
          </w:p>
        </w:tc>
        <w:tc>
          <w:tcPr>
            <w:tcW w:w="93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530"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291"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3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303" w:type="dxa"/>
            <w:tcBorders>
              <w:top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2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9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5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732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29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98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80" w:hRule="atLeast"/>
        </w:trPr>
        <w:tc>
          <w:tcPr>
            <w:tcW w:w="108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 存在问题、原因及下一步整改措施</w:t>
            </w:r>
          </w:p>
        </w:tc>
        <w:tc>
          <w:tcPr>
            <w:tcW w:w="8616"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进一步加强党员党性修养教育，加大训班力度，不断提升党员政治觉悟和政治能力，继续规范党建活动经费管理，严格遵守中央八项规定精神，确保经费的使用符合党的事业的发展需要。</w:t>
            </w:r>
          </w:p>
        </w:tc>
      </w:tr>
    </w:tbl>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p>
    <w:p>
      <w:pPr>
        <w:rPr>
          <w:rFonts w:hint="eastAsia" w:ascii="Times New Roman" w:eastAsia="仿宋_GB2312" w:cs="宋体" w:hAnsiTheme="minorHAnsi"/>
          <w:b/>
          <w:color w:val="auto"/>
          <w:kern w:val="0"/>
          <w:sz w:val="32"/>
          <w:szCs w:val="32"/>
          <w:lang w:val="en-US" w:eastAsia="zh-CN" w:bidi="ar-SA"/>
        </w:rPr>
      </w:pPr>
      <w:r>
        <w:rPr>
          <w:rFonts w:hint="eastAsia" w:ascii="Times New Roman" w:eastAsia="仿宋_GB2312" w:cs="宋体" w:hAnsiTheme="minorHAnsi"/>
          <w:b/>
          <w:color w:val="auto"/>
          <w:kern w:val="0"/>
          <w:sz w:val="32"/>
          <w:szCs w:val="32"/>
          <w:lang w:val="en-US" w:eastAsia="zh-CN" w:bidi="ar-SA"/>
        </w:rPr>
        <w:t>法律咨询服务费</w:t>
      </w:r>
    </w:p>
    <w:tbl>
      <w:tblPr>
        <w:tblStyle w:val="16"/>
        <w:tblW w:w="884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996"/>
        <w:gridCol w:w="1200"/>
        <w:gridCol w:w="1163"/>
        <w:gridCol w:w="1182"/>
        <w:gridCol w:w="996"/>
        <w:gridCol w:w="1005"/>
        <w:gridCol w:w="1209"/>
        <w:gridCol w:w="109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8845" w:type="dxa"/>
            <w:gridSpan w:val="8"/>
            <w:shd w:val="clear" w:color="auto" w:fill="auto"/>
            <w:vAlign w:val="center"/>
          </w:tcPr>
          <w:p>
            <w:pPr>
              <w:keepNext w:val="0"/>
              <w:keepLines w:val="0"/>
              <w:widowControl/>
              <w:suppressLineNumbers w:val="0"/>
              <w:jc w:val="center"/>
              <w:textAlignment w:val="center"/>
              <w:rPr>
                <w:rFonts w:ascii="方正小标宋_GBK" w:hAnsi="方正小标宋_GBK" w:eastAsia="方正小标宋_GBK" w:cs="方正小标宋_GBK"/>
                <w:i w:val="0"/>
                <w:color w:val="000000"/>
                <w:sz w:val="40"/>
                <w:szCs w:val="40"/>
                <w:u w:val="none"/>
              </w:rPr>
            </w:pPr>
            <w:r>
              <w:rPr>
                <w:rFonts w:hint="eastAsia" w:ascii="方正小标宋简体" w:hAnsi="方正小标宋简体" w:eastAsia="方正小标宋简体" w:cs="方正小标宋简体"/>
                <w:i w:val="0"/>
                <w:color w:val="000000"/>
                <w:kern w:val="0"/>
                <w:sz w:val="40"/>
                <w:szCs w:val="40"/>
                <w:u w:val="none"/>
                <w:lang w:val="en-US" w:eastAsia="zh-CN" w:bidi="ar"/>
              </w:rPr>
              <w:t>市级单位预算项目绩效自评表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8845" w:type="dxa"/>
            <w:gridSpan w:val="8"/>
            <w:shd w:val="clear" w:color="auto" w:fill="auto"/>
            <w:vAlign w:val="bottom"/>
          </w:tcPr>
          <w:p>
            <w:pPr>
              <w:keepNext w:val="0"/>
              <w:keepLines w:val="0"/>
              <w:widowControl/>
              <w:suppressLineNumbers w:val="0"/>
              <w:jc w:val="center"/>
              <w:textAlignment w:val="bottom"/>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 2024年度）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填报单位：</w:t>
            </w:r>
          </w:p>
        </w:tc>
        <w:tc>
          <w:tcPr>
            <w:tcW w:w="2363" w:type="dxa"/>
            <w:gridSpan w:val="2"/>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c>
          <w:tcPr>
            <w:tcW w:w="1182" w:type="dxa"/>
            <w:shd w:val="clear" w:color="auto" w:fill="auto"/>
            <w:vAlign w:val="center"/>
          </w:tcPr>
          <w:p>
            <w:pPr>
              <w:jc w:val="center"/>
              <w:rPr>
                <w:rFonts w:hint="eastAsia" w:ascii="宋体" w:hAnsi="宋体" w:eastAsia="宋体" w:cs="宋体"/>
                <w:i w:val="0"/>
                <w:color w:val="000000"/>
                <w:sz w:val="16"/>
                <w:szCs w:val="16"/>
                <w:u w:val="none"/>
              </w:rPr>
            </w:pPr>
          </w:p>
        </w:tc>
        <w:tc>
          <w:tcPr>
            <w:tcW w:w="996" w:type="dxa"/>
            <w:shd w:val="clear" w:color="auto" w:fill="auto"/>
            <w:vAlign w:val="center"/>
          </w:tcPr>
          <w:p>
            <w:pPr>
              <w:jc w:val="center"/>
              <w:rPr>
                <w:rFonts w:hint="eastAsia" w:ascii="宋体" w:hAnsi="宋体" w:eastAsia="宋体" w:cs="宋体"/>
                <w:i w:val="0"/>
                <w:color w:val="000000"/>
                <w:sz w:val="16"/>
                <w:szCs w:val="16"/>
                <w:u w:val="none"/>
              </w:rPr>
            </w:pPr>
          </w:p>
        </w:tc>
        <w:tc>
          <w:tcPr>
            <w:tcW w:w="1005" w:type="dxa"/>
            <w:shd w:val="clear" w:color="auto" w:fill="auto"/>
            <w:vAlign w:val="center"/>
          </w:tcPr>
          <w:p>
            <w:pPr>
              <w:jc w:val="center"/>
              <w:rPr>
                <w:rFonts w:hint="eastAsia" w:ascii="宋体" w:hAnsi="宋体" w:eastAsia="宋体" w:cs="宋体"/>
                <w:i w:val="0"/>
                <w:color w:val="000000"/>
                <w:sz w:val="16"/>
                <w:szCs w:val="16"/>
                <w:u w:val="none"/>
              </w:rPr>
            </w:pPr>
          </w:p>
        </w:tc>
        <w:tc>
          <w:tcPr>
            <w:tcW w:w="1209" w:type="dxa"/>
            <w:shd w:val="clear" w:color="auto" w:fill="auto"/>
            <w:vAlign w:val="center"/>
          </w:tcPr>
          <w:p>
            <w:pPr>
              <w:jc w:val="center"/>
              <w:rPr>
                <w:rFonts w:hint="eastAsia" w:ascii="宋体" w:hAnsi="宋体" w:eastAsia="宋体" w:cs="宋体"/>
                <w:i w:val="0"/>
                <w:color w:val="000000"/>
                <w:sz w:val="16"/>
                <w:szCs w:val="16"/>
                <w:u w:val="none"/>
              </w:rPr>
            </w:pPr>
          </w:p>
        </w:tc>
        <w:tc>
          <w:tcPr>
            <w:tcW w:w="1094" w:type="dxa"/>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5" w:hRule="atLeast"/>
        </w:trPr>
        <w:tc>
          <w:tcPr>
            <w:tcW w:w="996"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基本情况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项目名称</w:t>
            </w:r>
          </w:p>
        </w:tc>
        <w:tc>
          <w:tcPr>
            <w:tcW w:w="234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法律咨询服务费</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实施(主管）单位</w:t>
            </w:r>
          </w:p>
        </w:tc>
        <w:tc>
          <w:tcPr>
            <w:tcW w:w="330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石家庄市审计局</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二、预算执行情况</w:t>
            </w:r>
          </w:p>
        </w:tc>
        <w:tc>
          <w:tcPr>
            <w:tcW w:w="236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预算安排情况（调整后）</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资金到位情况</w:t>
            </w:r>
          </w:p>
        </w:tc>
        <w:tc>
          <w:tcPr>
            <w:tcW w:w="2214"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资金执行情况</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预算执行进度</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预算数：</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到位数：</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执行数：</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6.00 </w:t>
            </w:r>
          </w:p>
        </w:tc>
        <w:tc>
          <w:tcPr>
            <w:tcW w:w="1094"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20"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其中：财政资金</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 xml:space="preserve">6.00 </w:t>
            </w: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default" w:ascii="Calibri" w:hAnsi="Calibri" w:eastAsia="宋体" w:cs="Calibri"/>
                <w:i w:val="0"/>
                <w:color w:val="000000"/>
                <w:sz w:val="21"/>
                <w:szCs w:val="21"/>
                <w:u w:val="none"/>
              </w:rPr>
            </w:pPr>
          </w:p>
        </w:tc>
        <w:tc>
          <w:tcPr>
            <w:tcW w:w="118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996"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其他</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i w:val="0"/>
                <w:color w:val="000000"/>
                <w:sz w:val="16"/>
                <w:szCs w:val="16"/>
                <w:u w:val="none"/>
              </w:rPr>
            </w:pPr>
          </w:p>
        </w:tc>
        <w:tc>
          <w:tcPr>
            <w:tcW w:w="1094"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三、目标完成情况</w:t>
            </w:r>
          </w:p>
        </w:tc>
        <w:tc>
          <w:tcPr>
            <w:tcW w:w="3545"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年度预期目标</w:t>
            </w:r>
          </w:p>
        </w:tc>
        <w:tc>
          <w:tcPr>
            <w:tcW w:w="321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具体完成情况</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总体完成率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45"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通过开展法律咨询及其他相关服务，提升审计质量和审计机关法制管理水平。</w:t>
            </w:r>
          </w:p>
        </w:tc>
        <w:tc>
          <w:tcPr>
            <w:tcW w:w="3210"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聘请律师事务所执业律师为法律顾问，在授权范围内依法独立提供法律事务咨询服务，讲授法律知识提供法律咨询服务，</w:t>
            </w:r>
          </w:p>
        </w:tc>
        <w:tc>
          <w:tcPr>
            <w:tcW w:w="1094" w:type="dxa"/>
            <w:vMerge w:val="restart"/>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2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09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285" w:hRule="atLeast"/>
        </w:trPr>
        <w:tc>
          <w:tcPr>
            <w:tcW w:w="9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3545"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3210"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16"/>
                <w:szCs w:val="16"/>
                <w:u w:val="none"/>
              </w:rPr>
            </w:pPr>
          </w:p>
        </w:tc>
        <w:tc>
          <w:tcPr>
            <w:tcW w:w="1094" w:type="dxa"/>
            <w:vMerge w:val="continue"/>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restart"/>
            <w:tcBorders>
              <w:top w:val="single" w:color="000000" w:sz="4" w:space="0"/>
              <w:left w:val="single" w:color="000000" w:sz="4" w:space="0"/>
              <w:bottom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四、</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年度绩效指标完成情况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一级指标</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二级指标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三级指标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预期指标值</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实际完成值</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自评得分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产出指标（40）</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数量指标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提供法律咨询次数</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≥3次</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10次</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质量指标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法律顾问服务合格率</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时效指标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工作完成时间</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2024年12月31日前</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2024年12月31日</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成本指标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项目总成本</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≤6万元</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6万元</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“预算执行率”指标自评得分=预算执行进度*10。</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效益指标（40）</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社会效益指标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服务效果</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效果良好</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38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r>
              <w:rPr>
                <w:rFonts w:hint="eastAsia" w:ascii="宋体" w:hAnsi="宋体" w:eastAsia="宋体" w:cs="宋体"/>
                <w:i w:val="0"/>
                <w:color w:val="000000"/>
                <w:kern w:val="0"/>
                <w:sz w:val="16"/>
                <w:szCs w:val="16"/>
                <w:u w:val="none"/>
                <w:lang w:val="en-US" w:eastAsia="zh-CN" w:bidi="ar"/>
              </w:rPr>
              <w:br w:type="textWrapping"/>
            </w:r>
            <w:r>
              <w:rPr>
                <w:rFonts w:hint="eastAsia" w:ascii="宋体" w:hAnsi="宋体" w:eastAsia="宋体" w:cs="宋体"/>
                <w:i w:val="0"/>
                <w:color w:val="000000"/>
                <w:kern w:val="0"/>
                <w:sz w:val="16"/>
                <w:szCs w:val="16"/>
                <w:u w:val="none"/>
                <w:lang w:val="en-US" w:eastAsia="zh-CN" w:bidi="ar"/>
              </w:rPr>
              <w:t>（10分）</w:t>
            </w:r>
          </w:p>
        </w:tc>
        <w:tc>
          <w:tcPr>
            <w:tcW w:w="116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满意度指标</w:t>
            </w:r>
          </w:p>
        </w:tc>
        <w:tc>
          <w:tcPr>
            <w:tcW w:w="2178"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服务对象满意度</w:t>
            </w:r>
          </w:p>
        </w:tc>
        <w:tc>
          <w:tcPr>
            <w:tcW w:w="10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≥90%</w:t>
            </w:r>
          </w:p>
        </w:tc>
        <w:tc>
          <w:tcPr>
            <w:tcW w:w="120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100%</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10" w:hRule="atLeast"/>
        </w:trPr>
        <w:tc>
          <w:tcPr>
            <w:tcW w:w="996" w:type="dxa"/>
            <w:vMerge w:val="continue"/>
            <w:tcBorders>
              <w:top w:val="single" w:color="000000" w:sz="4" w:space="0"/>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16"/>
                <w:szCs w:val="16"/>
                <w:u w:val="none"/>
              </w:rPr>
            </w:pPr>
          </w:p>
        </w:tc>
        <w:tc>
          <w:tcPr>
            <w:tcW w:w="6755" w:type="dxa"/>
            <w:gridSpan w:val="6"/>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总分</w:t>
            </w:r>
          </w:p>
        </w:tc>
        <w:tc>
          <w:tcPr>
            <w:tcW w:w="109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default" w:ascii="Calibri" w:hAnsi="Calibri" w:eastAsia="宋体" w:cs="Calibri"/>
                <w:i w:val="0"/>
                <w:color w:val="000000"/>
                <w:sz w:val="16"/>
                <w:szCs w:val="16"/>
                <w:u w:val="none"/>
              </w:rPr>
            </w:pPr>
            <w:r>
              <w:rPr>
                <w:rFonts w:hint="default" w:ascii="Calibri" w:hAnsi="Calibri" w:eastAsia="宋体" w:cs="Calibri"/>
                <w:i w:val="0"/>
                <w:color w:val="000000"/>
                <w:kern w:val="0"/>
                <w:sz w:val="16"/>
                <w:szCs w:val="16"/>
                <w:u w:val="none"/>
                <w:lang w:val="en-US" w:eastAsia="zh-CN" w:bidi="ar"/>
              </w:rPr>
              <w:t>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30" w:hRule="atLeast"/>
        </w:trPr>
        <w:tc>
          <w:tcPr>
            <w:tcW w:w="996" w:type="dxa"/>
            <w:tcBorders>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五、</w:t>
            </w:r>
            <w:r>
              <w:rPr>
                <w:rFonts w:ascii="Calibri" w:hAnsi="Calibri" w:eastAsia="宋体" w:cs="Calibri"/>
                <w:i w:val="0"/>
                <w:color w:val="000000"/>
                <w:kern w:val="0"/>
                <w:sz w:val="16"/>
                <w:szCs w:val="16"/>
                <w:u w:val="none"/>
                <w:lang w:val="en-US" w:eastAsia="zh-CN" w:bidi="ar"/>
              </w:rPr>
              <w:t xml:space="preserve"> </w:t>
            </w:r>
            <w:r>
              <w:rPr>
                <w:rFonts w:hint="eastAsia" w:ascii="宋体" w:hAnsi="宋体" w:eastAsia="宋体" w:cs="宋体"/>
                <w:i w:val="0"/>
                <w:color w:val="000000"/>
                <w:kern w:val="0"/>
                <w:sz w:val="16"/>
                <w:szCs w:val="16"/>
                <w:u w:val="none"/>
                <w:lang w:val="en-US" w:eastAsia="zh-CN" w:bidi="ar"/>
              </w:rPr>
              <w:t>存在问题、原因及下一步整改措施</w:t>
            </w:r>
          </w:p>
        </w:tc>
        <w:tc>
          <w:tcPr>
            <w:tcW w:w="7849"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16"/>
                <w:szCs w:val="16"/>
                <w:u w:val="none"/>
              </w:rPr>
            </w:pPr>
            <w:r>
              <w:rPr>
                <w:rFonts w:hint="eastAsia" w:ascii="宋体" w:hAnsi="宋体" w:eastAsia="宋体" w:cs="宋体"/>
                <w:i w:val="0"/>
                <w:color w:val="000000"/>
                <w:kern w:val="0"/>
                <w:sz w:val="16"/>
                <w:szCs w:val="16"/>
                <w:u w:val="none"/>
                <w:lang w:val="en-US" w:eastAsia="zh-CN" w:bidi="ar"/>
              </w:rPr>
              <w:t>进一步加强法律顾问工作的管理，落实好法律顾问咨询服务合同，充分发挥法律顾问作用，重大决策、规范性文件制定、合同起草签订、合法性审查均征求法律顾问意见，进一步提升咨询服务使用效果。</w:t>
            </w:r>
          </w:p>
        </w:tc>
      </w:tr>
    </w:tbl>
    <w:p>
      <w:pPr>
        <w:rPr>
          <w:rFonts w:hint="eastAsia" w:ascii="Times New Roman" w:eastAsia="仿宋_GB2312" w:cs="宋体" w:hAnsiTheme="minorHAnsi"/>
          <w:b/>
          <w:color w:val="auto"/>
          <w:kern w:val="0"/>
          <w:sz w:val="32"/>
          <w:szCs w:val="32"/>
          <w:lang w:val="en-US" w:eastAsia="zh-CN" w:bidi="ar-SA"/>
        </w:rPr>
      </w:pPr>
    </w:p>
    <w:p>
      <w:pPr>
        <w:widowControl/>
        <w:numPr>
          <w:ilvl w:val="0"/>
          <w:numId w:val="2"/>
        </w:numPr>
        <w:spacing w:before="0" w:beforeLines="0" w:beforeAutospacing="0" w:after="0" w:afterLines="0" w:afterAutospacing="0" w:line="360" w:lineRule="auto"/>
        <w:ind w:firstLine="200" w:firstLineChars="200"/>
        <w:jc w:val="left"/>
        <w:rPr>
          <w:rFonts w:ascii="Times New Roman" w:eastAsia="仿宋_GB2312"/>
          <w:b/>
          <w:sz w:val="32"/>
          <w:szCs w:val="32"/>
        </w:rPr>
      </w:pPr>
      <w:r>
        <w:rPr>
          <w:rFonts w:hint="eastAsia" w:ascii="Times New Roman" w:eastAsia="仿宋_GB2312"/>
          <w:b/>
          <w:sz w:val="32"/>
          <w:szCs w:val="32"/>
          <w:lang w:eastAsia="zh-CN"/>
        </w:rPr>
        <w:t>单位</w:t>
      </w:r>
      <w:r>
        <w:rPr>
          <w:rFonts w:ascii="Times New Roman" w:eastAsia="仿宋_GB2312"/>
          <w:b/>
          <w:sz w:val="32"/>
          <w:szCs w:val="32"/>
        </w:rPr>
        <w:t>评价项目绩效评价结果</w:t>
      </w:r>
    </w:p>
    <w:p>
      <w:pPr>
        <w:widowControl/>
        <w:spacing w:before="0" w:beforeLines="0" w:beforeAutospacing="0" w:after="0" w:afterLines="0" w:afterAutospacing="0" w:line="360" w:lineRule="auto"/>
        <w:ind w:firstLine="200" w:firstLineChars="200"/>
        <w:jc w:val="left"/>
        <w:rPr>
          <w:rFonts w:ascii="Times New Roman" w:eastAsia="仿宋_GB2312"/>
          <w:b w:val="0"/>
          <w:sz w:val="32"/>
          <w:szCs w:val="32"/>
        </w:rPr>
      </w:pPr>
      <w:r>
        <w:rPr>
          <w:rFonts w:hint="eastAsia" w:ascii="Times New Roman" w:eastAsia="仿宋_GB2312"/>
          <w:b w:val="0"/>
          <w:sz w:val="32"/>
          <w:szCs w:val="32"/>
        </w:rPr>
        <w:t>本</w:t>
      </w:r>
      <w:r>
        <w:rPr>
          <w:rFonts w:hint="eastAsia" w:ascii="Times New Roman" w:eastAsia="仿宋_GB2312"/>
          <w:b w:val="0"/>
          <w:sz w:val="32"/>
          <w:szCs w:val="32"/>
          <w:lang w:eastAsia="zh-CN"/>
        </w:rPr>
        <w:t>单位</w:t>
      </w:r>
      <w:r>
        <w:rPr>
          <w:rFonts w:hint="eastAsia" w:ascii="Times New Roman" w:eastAsia="仿宋_GB2312"/>
          <w:b w:val="0"/>
          <w:sz w:val="32"/>
          <w:szCs w:val="32"/>
        </w:rPr>
        <w:t>参与评价的项目共计9个，9个项目的产出和效果指标全部完成，自评结果为优秀。</w:t>
      </w:r>
    </w:p>
    <w:p>
      <w:pPr>
        <w:widowControl/>
        <w:spacing w:before="0" w:beforeLines="0" w:beforeAutospacing="0" w:after="0" w:afterLines="0" w:afterAutospacing="0" w:line="360" w:lineRule="auto"/>
        <w:ind w:firstLine="200" w:firstLineChars="200"/>
        <w:jc w:val="left"/>
        <w:rPr>
          <w:rFonts w:ascii="Times New Roman" w:eastAsia="黑体"/>
          <w:sz w:val="32"/>
          <w:szCs w:val="32"/>
        </w:rPr>
      </w:pPr>
      <w:r>
        <w:rPr>
          <w:rFonts w:ascii="Times New Roman" w:eastAsia="黑体"/>
          <w:b w:val="0"/>
          <w:sz w:val="32"/>
          <w:szCs w:val="32"/>
        </w:rPr>
        <w:t>十、其他需要说明的情况</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1.本单位2024年度政府性基金预算财政拨款收入支出决算表（公开07表）、国有资本经营预算财政拨款支出决算表（公开08表）无相应收支，故空表列示。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val="0"/>
          <w:sz w:val="32"/>
          <w:szCs w:val="32"/>
        </w:rPr>
        <w:t>2.由于决算公开表格中金额数值应当保留两位小数，公开数据为四舍五入计算结果，个别数据合计项与分项之和存在小数点后差额，特此说明。</w:t>
      </w:r>
    </w:p>
    <w:p>
      <w:pPr>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第四部分名词解释</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一、财政拨款收入：</w:t>
      </w:r>
      <w:r>
        <w:rPr>
          <w:rFonts w:ascii="Times New Roman" w:eastAsia="仿宋_GB2312"/>
          <w:b w:val="0"/>
          <w:sz w:val="32"/>
          <w:szCs w:val="32"/>
        </w:rPr>
        <w:t>指单位从同级财政</w:t>
      </w:r>
      <w:r>
        <w:rPr>
          <w:rFonts w:hint="eastAsia" w:ascii="Times New Roman" w:eastAsia="仿宋_GB2312"/>
          <w:b w:val="0"/>
          <w:sz w:val="32"/>
          <w:szCs w:val="32"/>
          <w:lang w:eastAsia="zh-CN"/>
        </w:rPr>
        <w:t>单位</w:t>
      </w:r>
      <w:r>
        <w:rPr>
          <w:rFonts w:ascii="Times New Roman" w:eastAsia="仿宋_GB2312"/>
          <w:b w:val="0"/>
          <w:sz w:val="32"/>
          <w:szCs w:val="32"/>
        </w:rPr>
        <w:t>取得的财政预算资金。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二、事业收入：</w:t>
      </w:r>
      <w:r>
        <w:rPr>
          <w:rFonts w:ascii="Times New Roman" w:eastAsia="仿宋_GB2312"/>
          <w:b w:val="0"/>
          <w:sz w:val="32"/>
          <w:szCs w:val="32"/>
        </w:rPr>
        <w:t>指事业单位开展专业业务活动及辅助活动取得的收入。</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三、经营收入：</w:t>
      </w:r>
      <w:r>
        <w:rPr>
          <w:rFonts w:ascii="Times New Roman" w:eastAsia="仿宋_GB2312"/>
          <w:b w:val="0"/>
          <w:sz w:val="32"/>
          <w:szCs w:val="32"/>
        </w:rPr>
        <w:t>指事业单位在专业业务活动及其辅助活动之外开展非独立核算经营活动取得的收入。</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四、其他收入：</w:t>
      </w:r>
      <w:r>
        <w:rPr>
          <w:rFonts w:ascii="Times New Roman" w:eastAsia="仿宋_GB2312"/>
          <w:b w:val="0"/>
          <w:sz w:val="32"/>
          <w:szCs w:val="32"/>
        </w:rPr>
        <w:t>指单位取得的除上述收入以外的各项收入。主要是事业单位固定资产出租收入、存款利息收入等。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五、使用非财政拨款结余（含专用结余）：</w:t>
      </w:r>
      <w:r>
        <w:rPr>
          <w:rFonts w:ascii="Times New Roman" w:eastAsia="仿宋_GB2312"/>
          <w:b w:val="0"/>
          <w:sz w:val="32"/>
          <w:szCs w:val="32"/>
        </w:rPr>
        <w:t>指事业单位按照预算管理要求使用非财政拨款结余弥补收支差额的金额，以及使用专用结余安排支出的金额。</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六、年初结转和结余：</w:t>
      </w:r>
      <w:r>
        <w:rPr>
          <w:rFonts w:ascii="Times New Roman" w:eastAsia="仿宋_GB2312"/>
          <w:b w:val="0"/>
          <w:sz w:val="32"/>
          <w:szCs w:val="32"/>
        </w:rPr>
        <w:t>指单位以前年度尚未完成、结转到本年仍按原规定用途继续使用的资金，或项目已完成等产生的结余资金。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七、结余分配：</w:t>
      </w:r>
      <w:r>
        <w:rPr>
          <w:rFonts w:ascii="Times New Roman" w:eastAsia="仿宋_GB2312"/>
          <w:b w:val="0"/>
          <w:sz w:val="32"/>
          <w:szCs w:val="32"/>
        </w:rPr>
        <w:t>指事业单位按照会计制度规定缴纳的所得税、提取的专用结余以及转入非财政拨款结余的金额等。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八、年末结转和结余：</w:t>
      </w:r>
      <w:r>
        <w:rPr>
          <w:rFonts w:ascii="Times New Roman" w:eastAsia="仿宋_GB2312"/>
          <w:b w:val="0"/>
          <w:sz w:val="32"/>
          <w:szCs w:val="32"/>
        </w:rPr>
        <w:t>指单位按有关规定结转到下年或以后年度继续使用的资金，或项目已完成等产生的结余资金。</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九、基本支出：</w:t>
      </w:r>
      <w:r>
        <w:rPr>
          <w:rFonts w:ascii="Times New Roman" w:eastAsia="仿宋_GB2312"/>
          <w:b w:val="0"/>
          <w:sz w:val="32"/>
          <w:szCs w:val="32"/>
        </w:rPr>
        <w:t>指为保障机构正常运转、完成日常工作任务而发生的人员支出和公用支出。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十、项目支出：</w:t>
      </w:r>
      <w:r>
        <w:rPr>
          <w:rFonts w:ascii="Times New Roman" w:eastAsia="仿宋_GB2312"/>
          <w:b w:val="0"/>
          <w:sz w:val="32"/>
          <w:szCs w:val="32"/>
        </w:rPr>
        <w:t>指在基本支出之外为完成特定行政任务和事业发展目标所发生的支出。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十一、经营支出：</w:t>
      </w:r>
      <w:r>
        <w:rPr>
          <w:rFonts w:ascii="Times New Roman" w:eastAsia="仿宋_GB2312"/>
          <w:b w:val="0"/>
          <w:sz w:val="32"/>
          <w:szCs w:val="32"/>
        </w:rPr>
        <w:t>指事业单位在专业业务活动及其辅助活动之外开展非独立核算经营活动发生的支出。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十二、基本建设支出：</w:t>
      </w:r>
      <w:r>
        <w:rPr>
          <w:rFonts w:ascii="Times New Roman" w:eastAsia="仿宋_GB2312"/>
          <w:b w:val="0"/>
          <w:sz w:val="32"/>
          <w:szCs w:val="32"/>
        </w:rPr>
        <w:t>填列由本级发展与改革</w:t>
      </w:r>
      <w:r>
        <w:rPr>
          <w:rFonts w:hint="eastAsia" w:ascii="Times New Roman" w:eastAsia="仿宋_GB2312"/>
          <w:b w:val="0"/>
          <w:sz w:val="32"/>
          <w:szCs w:val="32"/>
          <w:lang w:eastAsia="zh-CN"/>
        </w:rPr>
        <w:t>单位</w:t>
      </w:r>
      <w:r>
        <w:rPr>
          <w:rFonts w:ascii="Times New Roman" w:eastAsia="仿宋_GB2312"/>
          <w:b w:val="0"/>
          <w:sz w:val="32"/>
          <w:szCs w:val="32"/>
        </w:rPr>
        <w:t>集中安排的用于购置固定资产、战略性和应急性储备、土地和无形资产，以及购建基础设施、大型修缮所发生的一般公共预算财政拨款支出，不包括政府性基金、财政专户管理资金以及各类拼盘自筹资金等。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十三、其他资本性支出：</w:t>
      </w:r>
      <w:r>
        <w:rPr>
          <w:rFonts w:ascii="Times New Roman" w:eastAsia="仿宋_GB2312"/>
          <w:b w:val="0"/>
          <w:sz w:val="32"/>
          <w:szCs w:val="32"/>
        </w:rPr>
        <w:t>填列由各级非发展与改革</w:t>
      </w:r>
      <w:r>
        <w:rPr>
          <w:rFonts w:hint="eastAsia" w:ascii="Times New Roman" w:eastAsia="仿宋_GB2312"/>
          <w:b w:val="0"/>
          <w:sz w:val="32"/>
          <w:szCs w:val="32"/>
          <w:lang w:eastAsia="zh-CN"/>
        </w:rPr>
        <w:t>单位</w:t>
      </w:r>
      <w:r>
        <w:rPr>
          <w:rFonts w:ascii="Times New Roman" w:eastAsia="仿宋_GB2312"/>
          <w:b w:val="0"/>
          <w:sz w:val="32"/>
          <w:szCs w:val="32"/>
        </w:rPr>
        <w:t>集中安排的用于购置固定资产、战备性和应急性储备、土地和无形资产，以及购建基础设施、大型修缮和财政支持企业更新改造所发生的支出。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十四、“三公”经费：</w:t>
      </w:r>
      <w:r>
        <w:rPr>
          <w:rFonts w:ascii="Times New Roman" w:eastAsia="仿宋_GB2312"/>
          <w:b w:val="0"/>
          <w:sz w:val="32"/>
          <w:szCs w:val="32"/>
        </w:rPr>
        <w:t>指</w:t>
      </w:r>
      <w:r>
        <w:rPr>
          <w:rFonts w:hint="eastAsia" w:ascii="Times New Roman" w:eastAsia="仿宋_GB2312"/>
          <w:b w:val="0"/>
          <w:sz w:val="32"/>
          <w:szCs w:val="32"/>
          <w:lang w:eastAsia="zh-CN"/>
        </w:rPr>
        <w:t>单位</w:t>
      </w:r>
      <w:r>
        <w:rPr>
          <w:rFonts w:ascii="Times New Roman" w:eastAsia="仿宋_GB2312"/>
          <w:b w:val="0"/>
          <w:sz w:val="32"/>
          <w:szCs w:val="32"/>
        </w:rPr>
        <w:t>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十五、其他交通费用：</w:t>
      </w:r>
      <w:r>
        <w:rPr>
          <w:rFonts w:ascii="Times New Roman" w:eastAsia="仿宋_GB2312"/>
          <w:b w:val="0"/>
          <w:sz w:val="32"/>
          <w:szCs w:val="32"/>
        </w:rPr>
        <w:t>填列单位除公务用车运行维护费以外的其他交通费用。如公务交通补贴、租车费用、出租车费用，飞机、船舶等燃料费、维修费、保险费等。</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十六、公务用车购置：</w:t>
      </w:r>
      <w:r>
        <w:rPr>
          <w:rFonts w:ascii="Times New Roman" w:eastAsia="仿宋_GB2312"/>
          <w:b w:val="0"/>
          <w:sz w:val="32"/>
          <w:szCs w:val="32"/>
        </w:rPr>
        <w:t>填列单位公务用车车辆购置支出（含车辆购置税、牌照费）。</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十七、其他交通工具购置：</w:t>
      </w:r>
      <w:r>
        <w:rPr>
          <w:rFonts w:ascii="Times New Roman" w:eastAsia="仿宋_GB2312"/>
          <w:b w:val="0"/>
          <w:sz w:val="32"/>
          <w:szCs w:val="32"/>
        </w:rPr>
        <w:t>填列单位除公务用车外的其他各类交通工具（如船舶、飞机等）购置支出（含车辆购置税、牌照费）。</w:t>
      </w:r>
    </w:p>
    <w:p>
      <w:pPr>
        <w:widowControl/>
        <w:spacing w:before="0" w:beforeLines="0" w:beforeAutospacing="0" w:after="0" w:afterLines="0" w:afterAutospacing="0" w:line="360" w:lineRule="auto"/>
        <w:ind w:firstLine="200" w:firstLineChars="200"/>
        <w:jc w:val="left"/>
        <w:rPr>
          <w:rFonts w:ascii="Times New Roman" w:eastAsia="仿宋_GB2312"/>
          <w:sz w:val="32"/>
          <w:szCs w:val="32"/>
        </w:rPr>
      </w:pPr>
      <w:r>
        <w:rPr>
          <w:rFonts w:ascii="Times New Roman" w:eastAsia="仿宋_GB2312"/>
          <w:b/>
          <w:sz w:val="32"/>
          <w:szCs w:val="32"/>
        </w:rPr>
        <w:t>十八、机关运行经费：</w:t>
      </w:r>
      <w:r>
        <w:rPr>
          <w:rFonts w:ascii="Times New Roman" w:eastAsia="仿宋_GB2312"/>
          <w:b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headerReference r:id="rId8" w:type="default"/>
      <w:pgSz w:w="11906" w:h="16838"/>
      <w:pgMar w:top="2098" w:right="1417" w:bottom="1871" w:left="1417" w:header="851" w:footer="992" w:gutter="0"/>
      <w:pgBorders>
        <w:top w:val="none" w:color="auto" w:sz="0" w:space="0"/>
        <w:left w:val="none" w:color="auto" w:sz="0" w:space="0"/>
        <w:bottom w:val="none" w:color="auto" w:sz="0" w:space="0"/>
        <w:right w:val="none" w:color="auto"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font>
  <w:font w:name="方正小标宋_GBK">
    <w:altName w:val="微软雅黑"/>
    <w:panose1 w:val="02000000000000000000"/>
    <w:charset w:val="86"/>
    <w:family w:val="script"/>
    <w:pitch w:val="default"/>
    <w:sig w:usb0="00000000" w:usb1="00000000" w:usb2="00000000" w:usb3="00000000" w:csb0="00000000" w:csb1="00000000"/>
  </w:font>
  <w:font w:name="仿宋_GB2312">
    <w:panose1 w:val="02010609030101010101"/>
    <w:charset w:val="86"/>
    <w:family w:val="auto"/>
    <w:pitch w:val="default"/>
    <w:sig w:usb0="00000001" w:usb1="080E0000" w:usb2="00000000" w:usb3="00000000" w:csb0="00040000" w:csb1="00000000"/>
  </w:font>
  <w:font w:name="ArialUnicodeMS">
    <w:altName w:val="Malgun Gothic"/>
    <w:panose1 w:val="00000000000000000000"/>
    <w:charset w:val="81"/>
    <w:family w:val="auto"/>
    <w:pitch w:val="default"/>
    <w:sig w:usb0="00000000" w:usb1="00000000" w:usb2="00000010" w:usb3="00000000" w:csb0="00080001" w:csb1="00000000"/>
  </w:font>
  <w:font w:name="Malgun Gothic">
    <w:panose1 w:val="020B0503020000020004"/>
    <w:charset w:val="81"/>
    <w:family w:val="auto"/>
    <w:pitch w:val="default"/>
    <w:sig w:usb0="900002AF" w:usb1="01D77CFB" w:usb2="00000012" w:usb3="00000000" w:csb0="00080001" w:csb1="00000000"/>
  </w:font>
  <w:font w:name="方正仿宋_GB2312">
    <w:altName w:val="仿宋"/>
    <w:panose1 w:val="02000000000000000000"/>
    <w:charset w:val="86"/>
    <w:family w:val="auto"/>
    <w:pitch w:val="default"/>
    <w:sig w:usb0="00000000" w:usb1="00000000" w:usb2="00000000" w:usb3="00000000" w:csb0="00000000" w:csb1="0000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幼圆">
    <w:panose1 w:val="0201050906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书宋_GBK">
    <w:altName w:val="微软雅黑"/>
    <w:panose1 w:val="02000000000000000000"/>
    <w:charset w:val="86"/>
    <w:family w:val="auto"/>
    <w:pitch w:val="default"/>
    <w:sig w:usb0="00000000" w:usb1="00000000" w:usb2="00082016" w:usb3="00000000" w:csb0="00040001" w:csb1="00000000"/>
  </w:font>
  <w:font w:name="Nimbus Roman No9 L">
    <w:altName w:val="Segoe Print"/>
    <w:panose1 w:val="00000000000000000000"/>
    <w:charset w:val="00"/>
    <w:family w:val="auto"/>
    <w:pitch w:val="default"/>
    <w:sig w:usb0="00000000" w:usb1="00000000" w:usb2="00000000" w:usb3="00000000" w:csb0="00000000" w:csb1="00000000"/>
  </w:font>
  <w:font w:name="DejaVu Sans">
    <w:altName w:val="Segoe Print"/>
    <w:panose1 w:val="020B0603030804020204"/>
    <w:charset w:val="00"/>
    <w:family w:val="auto"/>
    <w:pitch w:val="default"/>
    <w:sig w:usb0="00000000" w:usb1="00000000" w:usb2="0A246029" w:usb3="0400200C" w:csb0="600001FF" w:csb1="DFFF0000"/>
  </w:font>
  <w:font w:name="Liberation Serif">
    <w:altName w:val="Traditional Arabic"/>
    <w:panose1 w:val="02020603050405020304"/>
    <w:charset w:val="00"/>
    <w:family w:val="auto"/>
    <w:pitch w:val="default"/>
    <w:sig w:usb0="00000000" w:usb1="00000000" w:usb2="00000000" w:usb3="00000000" w:csb0="6000009F" w:csb1="DFD70000"/>
  </w:font>
  <w:font w:name="汉仪中宋简">
    <w:altName w:val="宋体"/>
    <w:panose1 w:val="02010600000101010101"/>
    <w:charset w:val="86"/>
    <w:family w:val="auto"/>
    <w:pitch w:val="default"/>
    <w:sig w:usb0="00000000" w:usb1="00000000" w:usb2="00000002" w:usb3="00000000" w:csb0="00040000" w:csb1="00000000"/>
  </w:font>
  <w:font w:name="微软雅黑">
    <w:panose1 w:val="020B0503020204020204"/>
    <w:charset w:val="86"/>
    <w:family w:val="auto"/>
    <w:pitch w:val="default"/>
    <w:sig w:usb0="80000287" w:usb1="280F3C52" w:usb2="00000016" w:usb3="00000000" w:csb0="0004001F" w:csb1="00000000"/>
  </w:font>
  <w:font w:name="Traditional Arabic">
    <w:panose1 w:val="02020603050405020304"/>
    <w:charset w:val="00"/>
    <w:family w:val="auto"/>
    <w:pitch w:val="default"/>
    <w:sig w:usb0="00006003" w:usb1="80000000" w:usb2="00000008" w:usb3="00000000" w:csb0="00000041" w:csb1="20080000"/>
  </w:font>
  <w:font w:name="Arial">
    <w:panose1 w:val="020B0604020202020204"/>
    <w:charset w:val="00"/>
    <w:family w:val="auto"/>
    <w:pitch w:val="default"/>
    <w:sig w:usb0="E0002AFF" w:usb1="C0007843" w:usb2="00000009" w:usb3="00000000" w:csb0="400001FF" w:csb1="FFFF0000"/>
  </w:font>
  <w:font w:name="FangSong_GB2312">
    <w:altName w:val="仿宋_GB2312"/>
    <w:panose1 w:val="00000000000000000000"/>
    <w:charset w:val="86"/>
    <w:family w:val="auto"/>
    <w:pitch w:val="default"/>
    <w:sig w:usb0="00000000" w:usb1="00000000" w:usb2="00000000" w:usb3="00000000" w:csb0="00040000" w:csb1="00000000"/>
  </w:font>
  <w:font w:name="FZFangSong-Z02">
    <w:altName w:val="宋体"/>
    <w:panose1 w:val="00000000000000000000"/>
    <w:charset w:val="86"/>
    <w:family w:val="auto"/>
    <w:pitch w:val="default"/>
    <w:sig w:usb0="00000000" w:usb1="00000000" w:usb2="00000000" w:usb3="00000000" w:csb0="00040000" w:csb1="00000000"/>
  </w:font>
  <w:font w:name="font-weight : 400">
    <w:altName w:val="Segoe Print"/>
    <w:panose1 w:val="00000000000000000000"/>
    <w:charset w:val="00"/>
    <w:family w:val="auto"/>
    <w:pitch w:val="default"/>
    <w:sig w:usb0="00000000" w:usb1="00000000" w:usb2="00000000" w:usb3="00000000" w:csb0="00040001" w:csb1="00000000"/>
  </w:font>
  <w:font w:name="serif">
    <w:altName w:val="Segoe Print"/>
    <w:panose1 w:val="00000000000000000000"/>
    <w:charset w:val="00"/>
    <w:family w:val="auto"/>
    <w:pitch w:val="default"/>
    <w:sig w:usb0="00000000" w:usb1="00000000" w:usb2="00000000" w:usb3="00000000" w:csb0="00000000" w:csb1="00000000"/>
  </w:font>
  <w:font w:name="FangSong_GB2312">
    <w:altName w:val="仿宋_GB2312"/>
    <w:panose1 w:val="00000000000000000000"/>
    <w:charset w:val="00"/>
    <w:family w:val="auto"/>
    <w:pitch w:val="default"/>
    <w:sig w:usb0="00000000" w:usb1="00000000" w:usb2="00000000" w:usb3="00000000" w:csb0="00000000" w:csb1="00000000"/>
  </w:font>
  <w:font w:name="FangSong_GB2312,Bold">
    <w:altName w:val="宋体"/>
    <w:panose1 w:val="00000000000000000000"/>
    <w:charset w:val="86"/>
    <w:family w:val="auto"/>
    <w:pitch w:val="default"/>
    <w:sig w:usb0="00000000" w:usb1="00000000" w:usb2="00000000" w:usb3="00000000" w:csb0="00040000" w:csb1="00000000"/>
  </w:font>
  <w:font w:name="方正小标宋_GBK">
    <w:altName w:val="微软雅黑"/>
    <w:panose1 w:val="02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p>
  <w:p>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
    <w:nsid w:val="68C285F4"/>
    <w:multiLevelType w:val="singleLevel"/>
    <w:tmpl w:val="68C285F4"/>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displayBackgroundShape w:val="1"/>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172A27"/>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837DDF"/>
    <w:rsid w:val="049C1B9D"/>
    <w:rsid w:val="04BD008C"/>
    <w:rsid w:val="04C55939"/>
    <w:rsid w:val="04DA28BB"/>
    <w:rsid w:val="04F528BE"/>
    <w:rsid w:val="050E10CE"/>
    <w:rsid w:val="054F2DFB"/>
    <w:rsid w:val="05991C82"/>
    <w:rsid w:val="05CD1EC8"/>
    <w:rsid w:val="061416A9"/>
    <w:rsid w:val="061D60A6"/>
    <w:rsid w:val="06236884"/>
    <w:rsid w:val="064A5969"/>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A954BE"/>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7964B7"/>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80A3758"/>
    <w:rsid w:val="28292E99"/>
    <w:rsid w:val="289057C5"/>
    <w:rsid w:val="28A67C7A"/>
    <w:rsid w:val="28EA3248"/>
    <w:rsid w:val="28F879DA"/>
    <w:rsid w:val="294B7731"/>
    <w:rsid w:val="29514455"/>
    <w:rsid w:val="29D21FF2"/>
    <w:rsid w:val="2A611B0F"/>
    <w:rsid w:val="2AC1762B"/>
    <w:rsid w:val="2AE845D0"/>
    <w:rsid w:val="2B4975FB"/>
    <w:rsid w:val="2B6143AD"/>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330424"/>
    <w:rsid w:val="36FE3ABA"/>
    <w:rsid w:val="37072BDE"/>
    <w:rsid w:val="37455334"/>
    <w:rsid w:val="37527C32"/>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8626D0"/>
    <w:rsid w:val="3D953A6B"/>
    <w:rsid w:val="3DBB5979"/>
    <w:rsid w:val="3DD56F21"/>
    <w:rsid w:val="3DEF6699"/>
    <w:rsid w:val="3E1057AF"/>
    <w:rsid w:val="3E6C0DFA"/>
    <w:rsid w:val="3E740322"/>
    <w:rsid w:val="3E7F4380"/>
    <w:rsid w:val="3E8D171B"/>
    <w:rsid w:val="3EA5630D"/>
    <w:rsid w:val="3EBA731B"/>
    <w:rsid w:val="3EE33949"/>
    <w:rsid w:val="3EFB5800"/>
    <w:rsid w:val="3F3B4E59"/>
    <w:rsid w:val="3F6E677C"/>
    <w:rsid w:val="3F712F46"/>
    <w:rsid w:val="3FBC0EF7"/>
    <w:rsid w:val="3FCD2AB9"/>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6232437"/>
    <w:rsid w:val="56541A75"/>
    <w:rsid w:val="568832FC"/>
    <w:rsid w:val="568C4181"/>
    <w:rsid w:val="570725A9"/>
    <w:rsid w:val="5714693E"/>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3B5912"/>
    <w:rsid w:val="6FA14A81"/>
    <w:rsid w:val="6FA3261F"/>
    <w:rsid w:val="6FB44BAA"/>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6A729D"/>
    <w:rsid w:val="73177841"/>
    <w:rsid w:val="733774FE"/>
    <w:rsid w:val="73617E1B"/>
    <w:rsid w:val="736D7653"/>
    <w:rsid w:val="738035CB"/>
    <w:rsid w:val="73852C46"/>
    <w:rsid w:val="7396335C"/>
    <w:rsid w:val="73F46595"/>
    <w:rsid w:val="73F47FAE"/>
    <w:rsid w:val="74283FA2"/>
    <w:rsid w:val="742C135B"/>
    <w:rsid w:val="74463733"/>
    <w:rsid w:val="748A2F40"/>
    <w:rsid w:val="74D84FF7"/>
    <w:rsid w:val="74F85778"/>
    <w:rsid w:val="75272439"/>
    <w:rsid w:val="758F1E9B"/>
    <w:rsid w:val="75CE266B"/>
    <w:rsid w:val="76120141"/>
    <w:rsid w:val="768216BE"/>
    <w:rsid w:val="76AD5D98"/>
    <w:rsid w:val="76C23B43"/>
    <w:rsid w:val="76FD6F97"/>
    <w:rsid w:val="770218E8"/>
    <w:rsid w:val="779469CE"/>
    <w:rsid w:val="77C875A5"/>
    <w:rsid w:val="78A27DF6"/>
    <w:rsid w:val="79285B3A"/>
    <w:rsid w:val="79490B03"/>
    <w:rsid w:val="79625CA9"/>
    <w:rsid w:val="79A91196"/>
    <w:rsid w:val="7A0B32D3"/>
    <w:rsid w:val="7AC13CD3"/>
    <w:rsid w:val="7AE10264"/>
    <w:rsid w:val="7AE4248E"/>
    <w:rsid w:val="7B4A207F"/>
    <w:rsid w:val="7B936F45"/>
    <w:rsid w:val="7BA47419"/>
    <w:rsid w:val="7BB10D45"/>
    <w:rsid w:val="7BB44151"/>
    <w:rsid w:val="7C656A39"/>
    <w:rsid w:val="7CB93996"/>
    <w:rsid w:val="7CBE0F99"/>
    <w:rsid w:val="7D4E45F1"/>
    <w:rsid w:val="7DFB6D82"/>
    <w:rsid w:val="7E1D71D1"/>
    <w:rsid w:val="7E246254"/>
    <w:rsid w:val="7E553215"/>
    <w:rsid w:val="7E6D090F"/>
    <w:rsid w:val="7ECC66B2"/>
    <w:rsid w:val="7F2914C3"/>
    <w:rsid w:val="7F5F2ED6"/>
    <w:rsid w:val="7FA837EF"/>
    <w:rsid w:val="7FC36955"/>
    <w:rsid w:val="7FE903A0"/>
    <w:rsid w:val="7FF07065"/>
    <w:rsid w:val="7FF97946"/>
    <w:rsid w:val="7FFE7888"/>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iPriority="99" w:semiHidden="0"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8"/>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4">
    <w:name w:val="Default Paragraph Font"/>
    <w:unhideWhenUsed/>
    <w:qFormat/>
    <w:uiPriority w:val="1"/>
  </w:style>
  <w:style w:type="table" w:default="1" w:styleId="16">
    <w:name w:val="Normal Table"/>
    <w:unhideWhenUsed/>
    <w:qFormat/>
    <w:uiPriority w:val="99"/>
    <w:tblPr>
      <w:tblLayout w:type="fixed"/>
      <w:tblCellMar>
        <w:top w:w="0" w:type="dxa"/>
        <w:left w:w="108" w:type="dxa"/>
        <w:bottom w:w="0" w:type="dxa"/>
        <w:right w:w="108" w:type="dxa"/>
      </w:tblCellMar>
    </w:tblPr>
  </w:style>
  <w:style w:type="paragraph" w:styleId="6">
    <w:name w:val="annotation text"/>
    <w:basedOn w:val="1"/>
    <w:unhideWhenUsed/>
    <w:qFormat/>
    <w:uiPriority w:val="99"/>
    <w:pPr>
      <w:jc w:val="left"/>
    </w:pPr>
  </w:style>
  <w:style w:type="paragraph" w:styleId="7">
    <w:name w:val="Body Text Indent"/>
    <w:basedOn w:val="1"/>
    <w:next w:val="1"/>
    <w:unhideWhenUsed/>
    <w:qFormat/>
    <w:uiPriority w:val="99"/>
    <w:pPr>
      <w:spacing w:after="120"/>
      <w:ind w:left="420" w:leftChars="200"/>
    </w:pPr>
  </w:style>
  <w:style w:type="paragraph" w:styleId="8">
    <w:name w:val="Balloon Text"/>
    <w:basedOn w:val="1"/>
    <w:link w:val="27"/>
    <w:unhideWhenUsed/>
    <w:qFormat/>
    <w:uiPriority w:val="99"/>
    <w:rPr>
      <w:rFonts w:cstheme="minorBidi"/>
      <w:kern w:val="2"/>
      <w:sz w:val="18"/>
      <w:szCs w:val="18"/>
    </w:rPr>
  </w:style>
  <w:style w:type="paragraph" w:styleId="9">
    <w:name w:val="footer"/>
    <w:basedOn w:val="1"/>
    <w:link w:val="19"/>
    <w:qFormat/>
    <w:uiPriority w:val="99"/>
    <w:pPr>
      <w:tabs>
        <w:tab w:val="center" w:pos="4153"/>
        <w:tab w:val="right" w:pos="8306"/>
      </w:tabs>
      <w:snapToGrid w:val="0"/>
      <w:jc w:val="left"/>
    </w:pPr>
    <w:rPr>
      <w:rFonts w:cstheme="minorBidi"/>
      <w:kern w:val="2"/>
      <w:sz w:val="18"/>
      <w:szCs w:val="18"/>
    </w:rPr>
  </w:style>
  <w:style w:type="paragraph" w:styleId="10">
    <w:name w:val="Body Text First Indent 2"/>
    <w:basedOn w:val="7"/>
    <w:next w:val="1"/>
    <w:unhideWhenUsed/>
    <w:qFormat/>
    <w:uiPriority w:val="99"/>
    <w:pPr>
      <w:spacing w:after="0"/>
      <w:ind w:left="0" w:leftChars="0" w:firstLine="420" w:firstLineChars="200"/>
    </w:pPr>
    <w:rPr>
      <w:sz w:val="30"/>
      <w:szCs w:val="32"/>
    </w:rPr>
  </w:style>
  <w:style w:type="paragraph" w:styleId="11">
    <w:name w:val="header"/>
    <w:basedOn w:val="1"/>
    <w:link w:val="20"/>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2">
    <w:name w:val="footnote text"/>
    <w:basedOn w:val="1"/>
    <w:next w:val="10"/>
    <w:unhideWhenUsed/>
    <w:qFormat/>
    <w:uiPriority w:val="99"/>
    <w:pPr>
      <w:snapToGrid w:val="0"/>
      <w:jc w:val="left"/>
    </w:pPr>
    <w:rPr>
      <w:rFonts w:ascii="Calibri" w:hAnsi="Calibri"/>
      <w:sz w:val="18"/>
      <w:szCs w:val="32"/>
    </w:rPr>
  </w:style>
  <w:style w:type="paragraph" w:styleId="13">
    <w:name w:val="Normal (Web)"/>
    <w:basedOn w:val="1"/>
    <w:unhideWhenUsed/>
    <w:qFormat/>
    <w:uiPriority w:val="99"/>
    <w:pPr>
      <w:spacing w:before="0" w:beforeAutospacing="1" w:after="0" w:afterAutospacing="1"/>
      <w:ind w:left="0" w:right="0"/>
      <w:jc w:val="left"/>
    </w:pPr>
    <w:rPr>
      <w:kern w:val="0"/>
      <w:sz w:val="24"/>
      <w:lang w:val="en-US" w:eastAsia="zh-CN" w:bidi="ar"/>
    </w:rPr>
  </w:style>
  <w:style w:type="character" w:styleId="15">
    <w:name w:val="Strong"/>
    <w:basedOn w:val="14"/>
    <w:qFormat/>
    <w:uiPriority w:val="22"/>
    <w:rPr>
      <w:b/>
    </w:rPr>
  </w:style>
  <w:style w:type="table" w:styleId="17">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style>
  <w:style w:type="character" w:customStyle="1" w:styleId="18">
    <w:name w:val="标题 2 Char"/>
    <w:link w:val="3"/>
    <w:qFormat/>
    <w:uiPriority w:val="0"/>
    <w:rPr>
      <w:rFonts w:ascii="Calibri Light" w:hAnsi="Calibri Light" w:eastAsia="宋体" w:cs="Times New Roman"/>
      <w:b/>
      <w:bCs/>
      <w:sz w:val="28"/>
      <w:szCs w:val="32"/>
    </w:rPr>
  </w:style>
  <w:style w:type="character" w:customStyle="1" w:styleId="19">
    <w:name w:val="页脚 Char"/>
    <w:basedOn w:val="14"/>
    <w:link w:val="9"/>
    <w:qFormat/>
    <w:uiPriority w:val="99"/>
    <w:rPr>
      <w:rFonts w:asciiTheme="minorHAnsi" w:hAnsiTheme="minorHAnsi" w:eastAsiaTheme="minorEastAsia" w:cstheme="minorBidi"/>
      <w:sz w:val="18"/>
      <w:szCs w:val="18"/>
      <w:lang w:val="en-US" w:eastAsia="zh-CN" w:bidi="ar-SA"/>
    </w:rPr>
  </w:style>
  <w:style w:type="character" w:customStyle="1" w:styleId="20">
    <w:name w:val="页眉 Char"/>
    <w:basedOn w:val="14"/>
    <w:link w:val="11"/>
    <w:qFormat/>
    <w:uiPriority w:val="0"/>
    <w:rPr>
      <w:rFonts w:asciiTheme="minorHAnsi" w:hAnsiTheme="minorHAnsi" w:eastAsiaTheme="minorEastAsia" w:cstheme="minorBidi"/>
      <w:sz w:val="18"/>
      <w:szCs w:val="18"/>
      <w:lang w:val="en-US" w:eastAsia="zh-CN" w:bidi="ar-SA"/>
    </w:rPr>
  </w:style>
  <w:style w:type="character" w:customStyle="1" w:styleId="21">
    <w:name w:val="font11"/>
    <w:basedOn w:val="14"/>
    <w:qFormat/>
    <w:uiPriority w:val="0"/>
    <w:rPr>
      <w:rFonts w:hint="eastAsia" w:ascii="宋体" w:hAnsi="宋体" w:eastAsia="宋体" w:cs="宋体"/>
      <w:color w:val="000000"/>
      <w:sz w:val="20"/>
      <w:szCs w:val="20"/>
      <w:u w:val="none"/>
      <w:lang w:val="en-US" w:eastAsia="zh-CN" w:bidi="ar-SA"/>
    </w:rPr>
  </w:style>
  <w:style w:type="character" w:customStyle="1" w:styleId="22">
    <w:name w:val="font01"/>
    <w:basedOn w:val="14"/>
    <w:qFormat/>
    <w:uiPriority w:val="0"/>
    <w:rPr>
      <w:rFonts w:hint="eastAsia" w:ascii="宋体" w:hAnsi="宋体" w:eastAsia="宋体" w:cs="宋体"/>
      <w:color w:val="000000"/>
      <w:sz w:val="22"/>
      <w:szCs w:val="22"/>
      <w:u w:val="none"/>
      <w:lang w:val="en-US" w:eastAsia="zh-CN" w:bidi="ar-SA"/>
    </w:rPr>
  </w:style>
  <w:style w:type="character" w:customStyle="1" w:styleId="23">
    <w:name w:val="font41"/>
    <w:basedOn w:val="14"/>
    <w:qFormat/>
    <w:uiPriority w:val="0"/>
    <w:rPr>
      <w:rFonts w:hint="eastAsia" w:ascii="宋体" w:hAnsi="宋体" w:eastAsia="宋体" w:cs="宋体"/>
      <w:color w:val="000000"/>
      <w:sz w:val="24"/>
      <w:szCs w:val="24"/>
      <w:u w:val="none"/>
      <w:lang w:val="en-US" w:eastAsia="zh-CN" w:bidi="ar-SA"/>
    </w:rPr>
  </w:style>
  <w:style w:type="character" w:customStyle="1" w:styleId="24">
    <w:name w:val="font31"/>
    <w:basedOn w:val="14"/>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5">
    <w:name w:val="font91"/>
    <w:basedOn w:val="14"/>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6">
    <w:name w:val="font51"/>
    <w:basedOn w:val="14"/>
    <w:qFormat/>
    <w:uiPriority w:val="0"/>
    <w:rPr>
      <w:rFonts w:hint="eastAsia" w:ascii="宋体" w:hAnsi="宋体" w:eastAsia="宋体" w:cs="宋体"/>
      <w:color w:val="000000"/>
      <w:sz w:val="24"/>
      <w:szCs w:val="24"/>
      <w:u w:val="none"/>
      <w:lang w:val="en-US" w:eastAsia="zh-CN" w:bidi="ar-SA"/>
    </w:rPr>
  </w:style>
  <w:style w:type="character" w:customStyle="1" w:styleId="27">
    <w:name w:val="批注框文本 Char"/>
    <w:basedOn w:val="14"/>
    <w:link w:val="8"/>
    <w:semiHidden/>
    <w:qFormat/>
    <w:uiPriority w:val="99"/>
    <w:rPr>
      <w:rFonts w:asciiTheme="minorHAnsi" w:hAnsiTheme="minorHAnsi" w:eastAsiaTheme="minorEastAsia" w:cstheme="minorBidi"/>
      <w:sz w:val="18"/>
      <w:szCs w:val="18"/>
      <w:lang w:val="en-US" w:eastAsia="zh-CN" w:bidi="ar-SA"/>
    </w:rPr>
  </w:style>
  <w:style w:type="character" w:customStyle="1" w:styleId="28">
    <w:name w:val="font71"/>
    <w:basedOn w:val="14"/>
    <w:qFormat/>
    <w:uiPriority w:val="0"/>
    <w:rPr>
      <w:rFonts w:ascii="Calibri" w:hAnsi="Calibri" w:cs="Calibri"/>
      <w:color w:val="000000"/>
      <w:sz w:val="16"/>
      <w:szCs w:val="16"/>
      <w:u w:val="none"/>
    </w:rPr>
  </w:style>
  <w:style w:type="character" w:customStyle="1" w:styleId="29">
    <w:name w:val="font21"/>
    <w:basedOn w:val="14"/>
    <w:qFormat/>
    <w:uiPriority w:val="0"/>
    <w:rPr>
      <w:rFonts w:hint="eastAsia" w:ascii="宋体" w:hAnsi="宋体" w:eastAsia="宋体" w:cs="宋体"/>
      <w:color w:val="000000"/>
      <w:sz w:val="16"/>
      <w:szCs w:val="16"/>
      <w:u w:val="none"/>
    </w:rPr>
  </w:style>
  <w:style w:type="character" w:customStyle="1" w:styleId="30">
    <w:name w:val="font61"/>
    <w:basedOn w:val="14"/>
    <w:qFormat/>
    <w:uiPriority w:val="0"/>
    <w:rPr>
      <w:rFonts w:ascii="Calibri" w:hAnsi="Calibri" w:cs="Calibri"/>
      <w:color w:val="000000"/>
      <w:sz w:val="16"/>
      <w:szCs w:val="16"/>
      <w:u w:val="none"/>
    </w:rPr>
  </w:style>
  <w:style w:type="character" w:customStyle="1" w:styleId="31">
    <w:name w:val="font81"/>
    <w:basedOn w:val="14"/>
    <w:qFormat/>
    <w:uiPriority w:val="0"/>
    <w:rPr>
      <w:rFonts w:ascii="Calibri" w:hAnsi="Calibri" w:cs="Calibri"/>
      <w:color w:val="000000"/>
      <w:sz w:val="16"/>
      <w:szCs w:val="16"/>
      <w:u w:val="none"/>
    </w:rPr>
  </w:style>
  <w:style w:type="character" w:customStyle="1" w:styleId="32">
    <w:name w:val="font112"/>
    <w:basedOn w:val="14"/>
    <w:qFormat/>
    <w:uiPriority w:val="0"/>
    <w:rPr>
      <w:rFonts w:ascii="Calibri" w:hAnsi="Calibri" w:cs="Calibri"/>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chart" Target="charts/chart6.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jpeg"/><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_rels/chart2.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4.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5.xml.rels><?xml version="1.0" encoding="UTF-8" standalone="yes"?>
<Relationships xmlns="http://schemas.openxmlformats.org/package/2006/relationships"><Relationship Id="rId3" Type="http://schemas.microsoft.com/office/2011/relationships/chartColorStyle" Target="colors6.xml"/><Relationship Id="rId2" Type="http://schemas.microsoft.com/office/2011/relationships/chartStyle" Target="style6.xml"/><Relationship Id="rId1" Type="http://schemas.openxmlformats.org/officeDocument/2006/relationships/package" Target="../embeddings/Workbook6.xlsx"/></Relationships>
</file>

<file path=word/charts/_rels/chart6.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1 </a:t>
            </a:r>
            <a:r>
              <a:rPr lang="zh-CN" altLang="en-US"/>
              <a:t>： </a:t>
            </a:r>
            <a:r>
              <a:rPr lang="en-US" altLang="zh-CN"/>
              <a:t>2023-2024</a:t>
            </a:r>
            <a:r>
              <a:rPr lang="zh-CN" altLang="en-US"/>
              <a:t>年收支总计对比图（万元）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formatCode="General">
                  <c:v>5860.54</c:v>
                </c:pt>
                <c:pt idx="1" c:formatCode="General">
                  <c:v>5103.64</c:v>
                </c:pt>
              </c:numCache>
            </c:numRef>
          </c:val>
        </c:ser>
        <c:dLbls>
          <c:showLegendKey val="0"/>
          <c:showVal val="1"/>
          <c:showCatName val="0"/>
          <c:showSerName val="0"/>
          <c:showPercent val="0"/>
          <c:showBubbleSize val="0"/>
        </c:dLbls>
        <c:gapWidth val="246"/>
        <c:overlap val="-28"/>
        <c:axId val="817088452"/>
        <c:axId val="587069473"/>
      </c:barChart>
      <c:catAx>
        <c:axId val="81708845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069473"/>
        <c:crosses val="autoZero"/>
        <c:auto val="1"/>
        <c:lblAlgn val="ctr"/>
        <c:lblOffset val="100"/>
        <c:noMultiLvlLbl val="0"/>
      </c:catAx>
      <c:valAx>
        <c:axId val="587069473"/>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7088452"/>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2 </a:t>
            </a:r>
            <a:r>
              <a:rPr lang="zh-CN" altLang="en-US"/>
              <a:t>：收入决算构成情况图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Lbls>
            <c:dLbl>
              <c:idx val="0"/>
              <c:layout>
                <c:manualLayout>
                  <c:x val="0.320125539403024"/>
                  <c:y val="0.72690713982147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08045516407558"/>
                  <c:y val="0.63914683382912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405411836540074"/>
                  <c:y val="0.171855078623054"/>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45300797294"/>
                      <c:h val="0.137059073523162"/>
                    </c:manualLayout>
                  </c15:layout>
                </c:ext>
              </c:extLst>
            </c:dLbl>
            <c:dLbl>
              <c:idx val="3"/>
              <c:layout>
                <c:manualLayout>
                  <c:x val="-0.286905148238858"/>
                  <c:y val="0.270250743731381"/>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45300797294"/>
                      <c:h val="0.110709732256694"/>
                    </c:manualLayout>
                  </c15:layout>
                </c:ext>
              </c:extLst>
            </c:dLbl>
            <c:dLbl>
              <c:idx val="4"/>
              <c:layout>
                <c:manualLayout>
                  <c:x val="-0.298985360795255"/>
                  <c:y val="0.4491606459838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211403720706"/>
                      <c:h val="0.154908627284318"/>
                    </c:manualLayout>
                  </c15:layout>
                </c:ext>
              </c:extLst>
            </c:dLbl>
            <c:dLbl>
              <c:idx val="5"/>
              <c:layout>
                <c:manualLayout>
                  <c:x val="-0.288475575878384"/>
                  <c:y val="0.124165958351015"/>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manualLayout>
                      <c:w val="0.19545300797294"/>
                      <c:h val="0.110922226944326"/>
                    </c:manualLayout>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ctr"/>
            <c:showLegendKey val="1"/>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财政拨款收入</c:v>
                </c:pt>
                <c:pt idx="1">
                  <c:v>上级补助收入</c:v>
                </c:pt>
                <c:pt idx="2">
                  <c:v>事业收入</c:v>
                </c:pt>
                <c:pt idx="3">
                  <c:v>经营收入</c:v>
                </c:pt>
                <c:pt idx="4">
                  <c:v>附属单位上缴收入</c:v>
                </c:pt>
                <c:pt idx="5">
                  <c:v>其他收入</c:v>
                </c:pt>
              </c:strCache>
            </c:strRef>
          </c:cat>
          <c:val>
            <c:numRef>
              <c:f>Sheet1!$B$2:$B$7</c:f>
              <c:numCache>
                <c:formatCode>General</c:formatCode>
                <c:ptCount val="6"/>
                <c:pt idx="0" c:formatCode="General">
                  <c:v>48423300.86</c:v>
                </c:pt>
                <c:pt idx="1" c:formatCode="General">
                  <c:v>0</c:v>
                </c:pt>
                <c:pt idx="2" c:formatCode="General">
                  <c:v>0</c:v>
                </c:pt>
                <c:pt idx="3" c:formatCode="General">
                  <c:v>0</c:v>
                </c:pt>
                <c:pt idx="4" c:formatCode="General">
                  <c:v>0</c:v>
                </c:pt>
                <c:pt idx="5" c:formatCode="General">
                  <c:v>390000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chemeClr val="tx1">
                    <a:lumMod val="75000"/>
                    <a:lumOff val="25000"/>
                  </a:schemeClr>
                </a:solidFill>
                <a:latin typeface="+mn-lt"/>
                <a:ea typeface="+mn-ea"/>
                <a:cs typeface="+mn-cs"/>
              </a:defRPr>
            </a:pPr>
            <a:r>
              <a:rPr lang="zh-CN" altLang="en-US" b="1"/>
              <a:t>图 </a:t>
            </a:r>
            <a:r>
              <a:rPr lang="en-US" altLang="zh-CN" b="1"/>
              <a:t>3 </a:t>
            </a:r>
            <a:r>
              <a:rPr lang="zh-CN" altLang="en-US" b="1"/>
              <a:t>：支出决算构成情况图</a:t>
            </a:r>
            <a:endParaRPr lang="zh-CN" altLang="en-US" b="1"/>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346218893452525"/>
                  <c:y val="0.7154696132596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57095916888137"/>
                  <c:y val="0.097938376540627"/>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292703551582508"/>
                  <c:y val="0.26689332766680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15235684561946"/>
                  <c:y val="0.468316617084613"/>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273558967655045"/>
                  <c:y val="0.71821036974079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0"/>
            <c:showCatName val="1"/>
            <c:showSerName val="0"/>
            <c:showPercent val="1"/>
            <c:showBubbleSize val="0"/>
            <c:separator>
</c:separator>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formatCode="General">
                  <c:v>38966209.17</c:v>
                </c:pt>
                <c:pt idx="1" c:formatCode="General">
                  <c:v>10366996.9</c:v>
                </c:pt>
                <c:pt idx="2" c:formatCode="General">
                  <c:v>0</c:v>
                </c:pt>
                <c:pt idx="3" c:formatCode="General">
                  <c:v>0</c:v>
                </c:pt>
                <c:pt idx="4" c:formatCode="General">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4 </a:t>
            </a:r>
            <a:r>
              <a:rPr lang="zh-CN" altLang="en-US"/>
              <a:t>：</a:t>
            </a:r>
            <a:r>
              <a:rPr lang="en-US" altLang="zh-CN"/>
              <a:t>2023-2024</a:t>
            </a:r>
            <a:r>
              <a:rPr lang="zh-CN" altLang="en-US"/>
              <a:t>年财政拨款收支对比图（万元）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formatCode="General">
                  <c:v>5274.9</c:v>
                </c:pt>
                <c:pt idx="1" c:formatCode="General">
                  <c:v>5379.73</c:v>
                </c:pt>
                <c:pt idx="2" c:formatCode="General">
                  <c:v>5274.9</c:v>
                </c:pt>
                <c:pt idx="3" c:formatCode="General">
                  <c:v>5379.73</c:v>
                </c:pt>
                <c:pt idx="4" c:formatCode="General">
                  <c:v>0</c:v>
                </c:pt>
                <c:pt idx="5" c:formatCode="General">
                  <c:v>0</c:v>
                </c:pt>
                <c:pt idx="6" c:formatCode="General">
                  <c:v>0</c:v>
                </c:pt>
                <c:pt idx="7" c:formatCode="General">
                  <c:v>0</c:v>
                </c:pt>
              </c:numCache>
            </c:numRef>
          </c:val>
        </c:ser>
        <c:ser>
          <c:idx val="1"/>
          <c:order val="1"/>
          <c:tx>
            <c:strRef>
              <c:f>Sheet1!$C$1</c:f>
              <c:strCache>
                <c:ptCount val="1"/>
                <c:pt idx="0">
                  <c:v>2024年</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formatCode="General">
                  <c:v>4842.33</c:v>
                </c:pt>
                <c:pt idx="1" c:formatCode="General">
                  <c:v>4817.94</c:v>
                </c:pt>
                <c:pt idx="2" c:formatCode="General">
                  <c:v>4842.33</c:v>
                </c:pt>
                <c:pt idx="3" c:formatCode="General">
                  <c:v>4817.94</c:v>
                </c:pt>
                <c:pt idx="4" c:formatCode="General">
                  <c:v>0</c:v>
                </c:pt>
                <c:pt idx="5" c:formatCode="General">
                  <c:v>0</c:v>
                </c:pt>
                <c:pt idx="6" c:formatCode="General">
                  <c:v>0</c:v>
                </c:pt>
                <c:pt idx="7" c:formatCode="General">
                  <c:v>0</c:v>
                </c:pt>
              </c:numCache>
            </c:numRef>
          </c:val>
        </c:ser>
        <c:dLbls>
          <c:showLegendKey val="0"/>
          <c:showVal val="1"/>
          <c:showCatName val="0"/>
          <c:showSerName val="0"/>
          <c:showPercent val="0"/>
          <c:showBubbleSize val="0"/>
        </c:dLbls>
        <c:gapWidth val="246"/>
        <c:overlap val="-28"/>
        <c:axId val="40225855"/>
        <c:axId val="660958640"/>
      </c:barChart>
      <c:catAx>
        <c:axId val="40225855"/>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60958640"/>
        <c:crosses val="autoZero"/>
        <c:auto val="1"/>
        <c:lblAlgn val="ctr"/>
        <c:lblOffset val="100"/>
        <c:noMultiLvlLbl val="0"/>
      </c:catAx>
      <c:valAx>
        <c:axId val="66095864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022585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5 :</a:t>
            </a:r>
            <a:r>
              <a:rPr lang="zh-CN" altLang="en-US"/>
              <a:t>财政拨款收支预算对比图（万元）</a:t>
            </a:r>
            <a:endParaRPr lang="zh-CN" altLang="en-US"/>
          </a:p>
        </c:rich>
      </c:tx>
      <c:layout/>
      <c:overlay val="0"/>
      <c:spPr>
        <a:noFill/>
        <a:ln>
          <a:noFill/>
        </a:ln>
        <a:effectLst/>
      </c:spPr>
    </c:title>
    <c:autoTitleDeleted val="0"/>
    <c:plotArea>
      <c:layout>
        <c:manualLayout>
          <c:layoutTarget val="inner"/>
          <c:xMode val="edge"/>
          <c:yMode val="edge"/>
          <c:x val="0.17641942498188"/>
          <c:y val="0.160433489162771"/>
          <c:w val="0.795796086011114"/>
          <c:h val="0.474330641733957"/>
        </c:manualLayout>
      </c:layout>
      <c:barChart>
        <c:barDir val="col"/>
        <c:grouping val="clustered"/>
        <c:varyColors val="0"/>
        <c:ser>
          <c:idx val="0"/>
          <c:order val="0"/>
          <c:tx>
            <c:strRef>
              <c:f>Sheet1!$B$1</c:f>
              <c:strCache>
                <c:ptCount val="1"/>
                <c:pt idx="0">
                  <c:v>年初预算数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formatCode="General">
                  <c:v>5507.67</c:v>
                </c:pt>
                <c:pt idx="1" c:formatCode="General">
                  <c:v>5507.67</c:v>
                </c:pt>
                <c:pt idx="2" c:formatCode="General">
                  <c:v>5507.67</c:v>
                </c:pt>
                <c:pt idx="3" c:formatCode="General">
                  <c:v>5507.67</c:v>
                </c:pt>
                <c:pt idx="4" c:formatCode="General">
                  <c:v>0</c:v>
                </c:pt>
                <c:pt idx="5" c:formatCode="General">
                  <c:v>0</c:v>
                </c:pt>
                <c:pt idx="6" c:formatCode="General">
                  <c:v>0</c:v>
                </c:pt>
                <c:pt idx="7" c:formatCode="General">
                  <c:v>0</c:v>
                </c:pt>
              </c:numCache>
            </c:numRef>
          </c:val>
        </c:ser>
        <c:ser>
          <c:idx val="1"/>
          <c:order val="1"/>
          <c:tx>
            <c:strRef>
              <c:f>Sheet1!$C$1</c:f>
              <c:strCache>
                <c:ptCount val="1"/>
                <c:pt idx="0">
                  <c:v>决算数</c:v>
                </c:pt>
              </c:strCache>
            </c:strRef>
          </c:tx>
          <c:spPr>
            <a:solidFill>
              <a:schemeClr val="accent2"/>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formatCode="General">
                  <c:v>4842.33</c:v>
                </c:pt>
                <c:pt idx="1" c:formatCode="General">
                  <c:v>4817.94</c:v>
                </c:pt>
                <c:pt idx="2" c:formatCode="General">
                  <c:v>4842.33</c:v>
                </c:pt>
                <c:pt idx="3" c:formatCode="General">
                  <c:v>4817.94</c:v>
                </c:pt>
                <c:pt idx="4" c:formatCode="General">
                  <c:v>0</c:v>
                </c:pt>
                <c:pt idx="5" c:formatCode="General">
                  <c:v>0</c:v>
                </c:pt>
                <c:pt idx="6" c:formatCode="General">
                  <c:v>0</c:v>
                </c:pt>
                <c:pt idx="7" c:formatCode="General">
                  <c:v>0</c:v>
                </c:pt>
              </c:numCache>
            </c:numRef>
          </c:val>
        </c:ser>
        <c:dLbls>
          <c:showLegendKey val="0"/>
          <c:showVal val="1"/>
          <c:showCatName val="0"/>
          <c:showSerName val="0"/>
          <c:showPercent val="0"/>
          <c:showBubbleSize val="0"/>
        </c:dLbls>
        <c:gapWidth val="150"/>
        <c:axId val="136214206"/>
        <c:axId val="897256872"/>
      </c:barChart>
      <c:catAx>
        <c:axId val="13621420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7256872"/>
        <c:crosses val="autoZero"/>
        <c:auto val="1"/>
        <c:lblAlgn val="ctr"/>
        <c:lblOffset val="100"/>
        <c:noMultiLvlLbl val="0"/>
      </c:catAx>
      <c:valAx>
        <c:axId val="89725687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621420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rPr lang="zh-CN" altLang="en-US"/>
              <a:t>图</a:t>
            </a:r>
            <a:r>
              <a:rPr lang="en-US" altLang="zh-CN"/>
              <a:t>6  : </a:t>
            </a:r>
            <a:r>
              <a:rPr lang="zh-CN" altLang="en-US"/>
              <a:t>财政拨款支出决算构成情况图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Pt>
            <c:idx val="8"/>
            <c:bubble3D val="0"/>
            <c:spPr>
              <a:solidFill>
                <a:schemeClr val="accent3">
                  <a:lumMod val="60000"/>
                </a:schemeClr>
              </a:solidFill>
              <a:ln>
                <a:solidFill>
                  <a:schemeClr val="bg1"/>
                </a:solidFill>
              </a:ln>
              <a:effectLst/>
            </c:spPr>
          </c:dPt>
          <c:dPt>
            <c:idx val="9"/>
            <c:bubble3D val="0"/>
            <c:spPr>
              <a:solidFill>
                <a:schemeClr val="accent4">
                  <a:lumMod val="60000"/>
                </a:schemeClr>
              </a:solidFill>
              <a:ln>
                <a:solidFill>
                  <a:schemeClr val="bg1"/>
                </a:solidFill>
              </a:ln>
              <a:effectLst/>
            </c:spPr>
          </c:dPt>
          <c:dPt>
            <c:idx val="10"/>
            <c:bubble3D val="0"/>
            <c:spPr>
              <a:solidFill>
                <a:schemeClr val="accent5">
                  <a:lumMod val="60000"/>
                </a:schemeClr>
              </a:solidFill>
              <a:ln>
                <a:solidFill>
                  <a:schemeClr val="bg1"/>
                </a:solidFill>
              </a:ln>
              <a:effectLst/>
            </c:spPr>
          </c:dPt>
          <c:dPt>
            <c:idx val="11"/>
            <c:bubble3D val="0"/>
            <c:spPr>
              <a:solidFill>
                <a:schemeClr val="accent6">
                  <a:lumMod val="60000"/>
                </a:schemeClr>
              </a:solidFill>
              <a:ln>
                <a:solidFill>
                  <a:schemeClr val="bg1"/>
                </a:solidFill>
              </a:ln>
              <a:effectLst/>
            </c:spPr>
          </c:dPt>
          <c:dPt>
            <c:idx val="12"/>
            <c:bubble3D val="0"/>
            <c:spPr>
              <a:solidFill>
                <a:schemeClr val="accent1">
                  <a:lumMod val="80000"/>
                  <a:lumOff val="20000"/>
                </a:schemeClr>
              </a:solidFill>
              <a:ln>
                <a:solidFill>
                  <a:schemeClr val="bg1"/>
                </a:solidFill>
              </a:ln>
              <a:effectLst/>
            </c:spPr>
          </c:dPt>
          <c:dPt>
            <c:idx val="13"/>
            <c:bubble3D val="0"/>
            <c:spPr>
              <a:solidFill>
                <a:schemeClr val="accent2">
                  <a:lumMod val="80000"/>
                  <a:lumOff val="20000"/>
                </a:schemeClr>
              </a:solidFill>
              <a:ln>
                <a:solidFill>
                  <a:schemeClr val="bg1"/>
                </a:solidFill>
              </a:ln>
              <a:effectLst/>
            </c:spPr>
          </c:dPt>
          <c:dPt>
            <c:idx val="14"/>
            <c:bubble3D val="0"/>
            <c:spPr>
              <a:solidFill>
                <a:schemeClr val="accent3">
                  <a:lumMod val="80000"/>
                  <a:lumOff val="20000"/>
                </a:schemeClr>
              </a:solidFill>
              <a:ln>
                <a:solidFill>
                  <a:schemeClr val="bg1"/>
                </a:solidFill>
              </a:ln>
              <a:effectLst/>
            </c:spPr>
          </c:dPt>
          <c:dPt>
            <c:idx val="15"/>
            <c:bubble3D val="0"/>
            <c:spPr>
              <a:solidFill>
                <a:schemeClr val="accent4">
                  <a:lumMod val="80000"/>
                  <a:lumOff val="20000"/>
                </a:schemeClr>
              </a:solidFill>
              <a:ln>
                <a:solidFill>
                  <a:schemeClr val="bg1"/>
                </a:solidFill>
              </a:ln>
              <a:effectLst/>
            </c:spPr>
          </c:dPt>
          <c:dPt>
            <c:idx val="16"/>
            <c:bubble3D val="0"/>
            <c:spPr>
              <a:solidFill>
                <a:schemeClr val="accent5">
                  <a:lumMod val="80000"/>
                  <a:lumOff val="20000"/>
                </a:schemeClr>
              </a:solidFill>
              <a:ln>
                <a:solidFill>
                  <a:schemeClr val="bg1"/>
                </a:solidFill>
              </a:ln>
              <a:effectLst/>
            </c:spPr>
          </c:dPt>
          <c:dPt>
            <c:idx val="17"/>
            <c:bubble3D val="0"/>
            <c:spPr>
              <a:solidFill>
                <a:schemeClr val="accent6">
                  <a:lumMod val="80000"/>
                  <a:lumOff val="20000"/>
                </a:schemeClr>
              </a:solidFill>
              <a:ln>
                <a:solidFill>
                  <a:schemeClr val="bg1"/>
                </a:solidFill>
              </a:ln>
              <a:effectLst/>
            </c:spPr>
          </c:dPt>
          <c:dPt>
            <c:idx val="18"/>
            <c:bubble3D val="0"/>
            <c:spPr>
              <a:solidFill>
                <a:schemeClr val="accent1">
                  <a:lumMod val="80000"/>
                </a:schemeClr>
              </a:solidFill>
              <a:ln>
                <a:solidFill>
                  <a:schemeClr val="bg1"/>
                </a:solidFill>
              </a:ln>
              <a:effectLst/>
            </c:spPr>
          </c:dPt>
          <c:dPt>
            <c:idx val="19"/>
            <c:bubble3D val="0"/>
            <c:spPr>
              <a:solidFill>
                <a:schemeClr val="accent2">
                  <a:lumMod val="80000"/>
                </a:schemeClr>
              </a:solidFill>
              <a:ln>
                <a:solidFill>
                  <a:schemeClr val="bg1"/>
                </a:solidFill>
              </a:ln>
              <a:effectLst/>
            </c:spPr>
          </c:dPt>
          <c:dPt>
            <c:idx val="20"/>
            <c:bubble3D val="0"/>
            <c:spPr>
              <a:solidFill>
                <a:schemeClr val="accent3">
                  <a:lumMod val="80000"/>
                </a:schemeClr>
              </a:solidFill>
              <a:ln>
                <a:solidFill>
                  <a:schemeClr val="bg1"/>
                </a:solidFill>
              </a:ln>
              <a:effectLst/>
            </c:spPr>
          </c:dPt>
          <c:dPt>
            <c:idx val="21"/>
            <c:bubble3D val="0"/>
            <c:spPr>
              <a:solidFill>
                <a:schemeClr val="accent4">
                  <a:lumMod val="80000"/>
                </a:schemeClr>
              </a:solidFill>
              <a:ln>
                <a:solidFill>
                  <a:schemeClr val="bg1"/>
                </a:solidFill>
              </a:ln>
              <a:effectLst/>
            </c:spPr>
          </c:dPt>
          <c:dPt>
            <c:idx val="22"/>
            <c:bubble3D val="0"/>
            <c:spPr>
              <a:solidFill>
                <a:schemeClr val="accent5">
                  <a:lumMod val="80000"/>
                </a:schemeClr>
              </a:solidFill>
              <a:ln>
                <a:solidFill>
                  <a:schemeClr val="bg1"/>
                </a:solidFill>
              </a:ln>
              <a:effectLst/>
            </c:spPr>
          </c:dPt>
          <c:dPt>
            <c:idx val="23"/>
            <c:bubble3D val="0"/>
            <c:spPr>
              <a:solidFill>
                <a:schemeClr val="accent6">
                  <a:lumMod val="80000"/>
                </a:schemeClr>
              </a:solidFill>
              <a:ln>
                <a:solidFill>
                  <a:schemeClr val="bg1"/>
                </a:solidFill>
              </a:ln>
              <a:effectLst/>
            </c:spPr>
          </c:dPt>
          <c:dPt>
            <c:idx val="24"/>
            <c:bubble3D val="0"/>
            <c:spPr>
              <a:solidFill>
                <a:schemeClr val="accent1">
                  <a:lumMod val="60000"/>
                  <a:lumOff val="40000"/>
                </a:schemeClr>
              </a:solidFill>
              <a:ln>
                <a:solidFill>
                  <a:schemeClr val="bg1"/>
                </a:solidFill>
              </a:ln>
              <a:effectLst/>
            </c:spPr>
          </c:dPt>
          <c:dPt>
            <c:idx val="25"/>
            <c:bubble3D val="0"/>
            <c:spPr>
              <a:solidFill>
                <a:schemeClr val="accent2">
                  <a:lumMod val="60000"/>
                  <a:lumOff val="40000"/>
                </a:schemeClr>
              </a:solidFill>
              <a:ln>
                <a:solidFill>
                  <a:schemeClr val="bg1"/>
                </a:solidFill>
              </a:ln>
              <a:effectLst/>
            </c:spPr>
          </c:dPt>
          <c:dLbls>
            <c:delete val="1"/>
          </c:dLbls>
          <c:cat>
            <c:strRef>
              <c:f>Sheet1!$A$2:$A$27</c:f>
              <c:strCache>
                <c:ptCount val="26"/>
                <c:pt idx="0">
                  <c:v>一般公共服务支出</c:v>
                </c:pt>
                <c:pt idx="1">
                  <c:v>外交支出</c:v>
                </c:pt>
                <c:pt idx="2">
                  <c:v>国防支出</c:v>
                </c:pt>
                <c:pt idx="3">
                  <c:v>公共安全支出</c:v>
                </c:pt>
                <c:pt idx="4">
                  <c:v>教育支出</c:v>
                </c:pt>
                <c:pt idx="5">
                  <c:v>科学技术支出</c:v>
                </c:pt>
                <c:pt idx="6">
                  <c:v>文化旅游体育与传媒支出</c:v>
                </c:pt>
                <c:pt idx="7">
                  <c:v>社会保障和就业支出</c:v>
                </c:pt>
                <c:pt idx="8">
                  <c:v>卫生健康支出</c:v>
                </c:pt>
                <c:pt idx="9">
                  <c:v>节能环保支出</c:v>
                </c:pt>
                <c:pt idx="10">
                  <c:v>城乡社区支出</c:v>
                </c:pt>
                <c:pt idx="11">
                  <c:v>农林水支出</c:v>
                </c:pt>
                <c:pt idx="12">
                  <c:v>交通运输支出</c:v>
                </c:pt>
                <c:pt idx="13">
                  <c:v>资源勘探工业信息等支出</c:v>
                </c:pt>
                <c:pt idx="14">
                  <c:v>商业服务业等支出</c:v>
                </c:pt>
                <c:pt idx="15">
                  <c:v>金融支出</c:v>
                </c:pt>
                <c:pt idx="16">
                  <c:v>援助其他地区支出</c:v>
                </c:pt>
                <c:pt idx="17">
                  <c:v>自然资源海洋气象等支出</c:v>
                </c:pt>
                <c:pt idx="18">
                  <c:v>住房保障支出</c:v>
                </c:pt>
                <c:pt idx="19">
                  <c:v>粮油物资储备支出</c:v>
                </c:pt>
                <c:pt idx="20">
                  <c:v>国有资本经营预算支出</c:v>
                </c:pt>
                <c:pt idx="21">
                  <c:v>灾害防治及应急管理支出</c:v>
                </c:pt>
                <c:pt idx="22">
                  <c:v>其他支出</c:v>
                </c:pt>
                <c:pt idx="23">
                  <c:v>债务还本支出</c:v>
                </c:pt>
                <c:pt idx="24">
                  <c:v>债务付息支出</c:v>
                </c:pt>
                <c:pt idx="25">
                  <c:v>抗疫特别国债安排的支出</c:v>
                </c:pt>
              </c:strCache>
            </c:strRef>
          </c:cat>
          <c:val>
            <c:numRef>
              <c:f>Sheet1!$B$2:$B$27</c:f>
              <c:numCache>
                <c:formatCode>General</c:formatCode>
                <c:ptCount val="26"/>
                <c:pt idx="0" c:formatCode="General">
                  <c:v>3444.28</c:v>
                </c:pt>
                <c:pt idx="1" c:formatCode="General">
                  <c:v>0</c:v>
                </c:pt>
                <c:pt idx="2" c:formatCode="General">
                  <c:v>0</c:v>
                </c:pt>
                <c:pt idx="3" c:formatCode="General">
                  <c:v>0</c:v>
                </c:pt>
                <c:pt idx="4" c:formatCode="General">
                  <c:v>0</c:v>
                </c:pt>
                <c:pt idx="5" c:formatCode="General">
                  <c:v>0</c:v>
                </c:pt>
                <c:pt idx="6" c:formatCode="General">
                  <c:v>0</c:v>
                </c:pt>
                <c:pt idx="7" c:formatCode="General">
                  <c:v>823.49</c:v>
                </c:pt>
                <c:pt idx="8" c:formatCode="General">
                  <c:v>187.72</c:v>
                </c:pt>
                <c:pt idx="9" c:formatCode="General">
                  <c:v>0</c:v>
                </c:pt>
                <c:pt idx="10" c:formatCode="General">
                  <c:v>0</c:v>
                </c:pt>
                <c:pt idx="11" c:formatCode="General">
                  <c:v>0</c:v>
                </c:pt>
                <c:pt idx="12" c:formatCode="General">
                  <c:v>0</c:v>
                </c:pt>
                <c:pt idx="13" c:formatCode="General">
                  <c:v>0</c:v>
                </c:pt>
                <c:pt idx="14" c:formatCode="General">
                  <c:v>0</c:v>
                </c:pt>
                <c:pt idx="15" c:formatCode="General">
                  <c:v>0</c:v>
                </c:pt>
                <c:pt idx="16" c:formatCode="General">
                  <c:v>0</c:v>
                </c:pt>
                <c:pt idx="17" c:formatCode="General">
                  <c:v>0</c:v>
                </c:pt>
                <c:pt idx="18" c:formatCode="General">
                  <c:v>362.45</c:v>
                </c:pt>
                <c:pt idx="19" c:formatCode="General">
                  <c:v>0</c:v>
                </c:pt>
                <c:pt idx="20" c:formatCode="General">
                  <c:v>0</c:v>
                </c:pt>
                <c:pt idx="21" c:formatCode="General">
                  <c:v>0</c:v>
                </c:pt>
                <c:pt idx="22" c:formatCode="General">
                  <c:v>0</c:v>
                </c:pt>
                <c:pt idx="23" c:formatCode="General">
                  <c:v>0</c:v>
                </c:pt>
                <c:pt idx="24" c:formatCode="General">
                  <c:v>0</c:v>
                </c:pt>
                <c:pt idx="25" c:formatCode="General">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25</Pages>
  <Words>611</Words>
  <Characters>2169</Characters>
  <Lines>86</Lines>
  <Paragraphs>24</Paragraphs>
  <ScaleCrop>false</ScaleCrop>
  <LinksUpToDate>false</LinksUpToDate>
  <CharactersWithSpaces>2170</CharactersWithSpaces>
  <Application>WPS Office_10.8.0.5761_F1E327BC-269C-435d-A152-05C5408002CA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2023-08-04T07:55:00Z</dcterms:created>
  <dc:creator>王明新TIAD</dc:creator>
  <cp:lastModifiedBy>lenovo</cp:lastModifiedBy>
  <cp:lastPrinted>2023-08-04T01:00:00Z</cp:lastPrinted>
  <dcterms:modified xsi:type="dcterms:W3CDTF">2025-09-12T07:30:10Z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2052-10.8.0.5761</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eyJoZGlkIjoiYjA3YzVjY2RhYzM1OWI4MmYzZjdlYWUzZWM2YTQyNTYiLCJ1c2VySWQiOiIxNTIwMzY1OTkzIn0=</vt:lpwstr>
  </property>
</Properties>
</file>