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uto"/>
        <w:jc w:val="both"/>
        <w:rPr>
          <w:rFonts w:hint="eastAsia" w:ascii="楷体_GB2312" w:hAnsi="楷体_GB2312" w:eastAsia="楷体_GB2312" w:cs="楷体_GB2312"/>
          <w:color w:val="000000"/>
          <w:sz w:val="40"/>
          <w:szCs w:val="40"/>
        </w:rPr>
      </w:pPr>
      <w:r>
        <w:drawing>
          <wp:anchor distT="0" distB="0" distL="114300" distR="114300" simplePos="0" relativeHeight="251659264" behindDoc="1" locked="0" layoutInCell="1" allowOverlap="1">
            <wp:simplePos x="0" y="0"/>
            <wp:positionH relativeFrom="column">
              <wp:posOffset>-1692910</wp:posOffset>
            </wp:positionH>
            <wp:positionV relativeFrom="paragraph">
              <wp:posOffset>-1319530</wp:posOffset>
            </wp:positionV>
            <wp:extent cx="8646795" cy="11107420"/>
            <wp:effectExtent l="0" t="0" r="1905" b="5080"/>
            <wp:wrapNone/>
            <wp:docPr id="15" name="图片 15" descr="7b0a202020202266696c746572223a202230220a7d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7b0a202020202266696c746572223a202230220a7d0a"/>
                    <pic:cNvPicPr>
                      <a:picLocks noChangeAspect="1"/>
                    </pic:cNvPicPr>
                  </pic:nvPicPr>
                  <pic:blipFill>
                    <a:blip r:embed="rId10">
                      <a:lum bright="6000"/>
                    </a:blip>
                    <a:srcRect t="559" b="3637"/>
                    <a:stretch>
                      <a:fillRect/>
                    </a:stretch>
                  </pic:blipFill>
                  <pic:spPr>
                    <a:xfrm>
                      <a:off x="0" y="0"/>
                      <a:ext cx="8646795" cy="11107420"/>
                    </a:xfrm>
                    <a:prstGeom prst="rect">
                      <a:avLst/>
                    </a:prstGeom>
                  </pic:spPr>
                </pic:pic>
              </a:graphicData>
            </a:graphic>
          </wp:anchor>
        </w:drawing>
      </w:r>
      <w:r>
        <mc:AlternateContent>
          <mc:Choice Requires="wps">
            <w:drawing>
              <wp:anchor distT="0" distB="0" distL="114300" distR="114300" simplePos="0" relativeHeight="251660288" behindDoc="0" locked="0" layoutInCell="1" allowOverlap="1">
                <wp:simplePos x="0" y="0"/>
                <wp:positionH relativeFrom="column">
                  <wp:posOffset>-546735</wp:posOffset>
                </wp:positionH>
                <wp:positionV relativeFrom="paragraph">
                  <wp:posOffset>253365</wp:posOffset>
                </wp:positionV>
                <wp:extent cx="6431280" cy="2862580"/>
                <wp:effectExtent l="0" t="0" r="0" b="0"/>
                <wp:wrapNone/>
                <wp:docPr id="1" name="文本框 1" descr="7b0a2020202022776f7264617274223a20227b5c2269645c223a32353030323136362c5c227469645c223a5c225c227d220a7d0a"/>
                <wp:cNvGraphicFramePr/>
                <a:graphic xmlns:a="http://schemas.openxmlformats.org/drawingml/2006/main">
                  <a:graphicData uri="http://schemas.microsoft.com/office/word/2010/wordprocessingShape">
                    <wps:wsp>
                      <wps:cNvSpPr txBox="1"/>
                      <wps:spPr>
                        <a:xfrm>
                          <a:off x="0" y="0"/>
                          <a:ext cx="6431280" cy="2862580"/>
                        </a:xfrm>
                        <a:prstGeom prst="rect">
                          <a:avLst/>
                        </a:prstGeom>
                        <a:noFill/>
                        <a:ln>
                          <a:noFill/>
                        </a:ln>
                        <a:effectLst/>
                      </wps:spPr>
                      <wps:txbx>
                        <w:txbxContent>
                          <w:p>
                            <w:pPr>
                              <w:spacing w:line="1400" w:lineRule="exact"/>
                              <w:jc w:val="left"/>
                              <w:rPr>
                                <w:rFonts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pPr>
                            <w:r>
                              <w:rPr>
                                <w:rFonts w:hint="eastAsia"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t>2024年度</w:t>
                            </w:r>
                          </w:p>
                          <w:p>
                            <w:pPr>
                              <w:spacing w:line="1400" w:lineRule="exact"/>
                              <w:jc w:val="left"/>
                              <w:rPr>
                                <w:rFonts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pPr>
                            <w:r>
                              <w:rPr>
                                <w:rFonts w:hint="eastAsia"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t>部门决算公开文本</w:t>
                            </w:r>
                          </w:p>
                        </w:txbxContent>
                      </wps:txbx>
                      <wps:bodyPr upright="1"/>
                    </wps:wsp>
                  </a:graphicData>
                </a:graphic>
              </wp:anchor>
            </w:drawing>
          </mc:Choice>
          <mc:Fallback>
            <w:pict>
              <v:shape id="_x0000_s1026" o:spid="_x0000_s1026" o:spt="202" alt="7b0a2020202022776f7264617274223a20227b5c2269645c223a32353030323136362c5c227469645c223a5c225c227d220a7d0a" type="#_x0000_t202" style="position:absolute;left:0pt;margin-left:-43.05pt;margin-top:19.95pt;height:225.4pt;width:506.4pt;z-index:251660288;mso-width-relative:page;mso-height-relative:page;" filled="f" stroked="f" coordsize="21600,21600" o:gfxdata="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XbLP3tgAAAAKAQAADwAAAAAA&#10;AAABACAAAAAiAAAAZHJzL2Rvd25yZXYueG1sUEsBAhQAFAAAAAgAh07iQCBW79PaAQAAgAMAAA4A&#10;AAAAAAAAAQAgAAAAJwEAAGRycy9lMm9Eb2MueG1sUEsFBgAAAAAGAAYAWQEAAHMFAAAAAA==&#10;">
                <v:fill on="f" focussize="0,0"/>
                <v:stroke on="f"/>
                <v:imagedata o:title=""/>
                <o:lock v:ext="edit" aspectratio="f"/>
                <v:textbox>
                  <w:txbxContent>
                    <w:p>
                      <w:pPr>
                        <w:spacing w:line="1400" w:lineRule="exact"/>
                        <w:jc w:val="left"/>
                        <w:rPr>
                          <w:rFonts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pPr>
                      <w:r>
                        <w:rPr>
                          <w:rFonts w:hint="eastAsia"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t>2024年度</w:t>
                      </w:r>
                    </w:p>
                    <w:p>
                      <w:pPr>
                        <w:spacing w:line="1400" w:lineRule="exact"/>
                        <w:jc w:val="left"/>
                        <w:rPr>
                          <w:rFonts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pPr>
                      <w:r>
                        <w:rPr>
                          <w:rFonts w:hint="eastAsia"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t>部门决算公开文本</w:t>
                      </w:r>
                    </w:p>
                  </w:txbxContent>
                </v:textbox>
              </v:shape>
            </w:pict>
          </mc:Fallback>
        </mc:AlternateContent>
      </w: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jc w:val="center"/>
        <w:rPr>
          <w:rFonts w:ascii="楷体_GB2312" w:hAnsi="楷体_GB2312" w:eastAsia="楷体_GB2312" w:cs="楷体_GB2312"/>
          <w:b/>
          <w:bCs/>
          <w:color w:val="0D0D0D" w:themeColor="text1" w:themeTint="F2"/>
          <w:sz w:val="48"/>
          <w:szCs w:val="56"/>
          <w14:textFill>
            <w14:solidFill>
              <w14:schemeClr w14:val="tx1">
                <w14:lumMod w14:val="95000"/>
                <w14:lumOff w14:val="5000"/>
              </w14:schemeClr>
            </w14:solidFill>
          </w14:textFill>
        </w:rPr>
      </w:pPr>
      <w:r>
        <w:rPr>
          <w:rFonts w:hint="eastAsia" w:ascii="楷体_GB2312" w:hAnsi="楷体_GB2312" w:eastAsia="楷体_GB2312" w:cs="楷体_GB2312"/>
          <w:b/>
          <w:bCs/>
          <w:color w:val="0D0D0D" w:themeColor="text1" w:themeTint="F2"/>
          <w:sz w:val="48"/>
          <w:szCs w:val="56"/>
          <w14:textFill>
            <w14:solidFill>
              <w14:schemeClr w14:val="tx1">
                <w14:lumMod w14:val="95000"/>
                <w14:lumOff w14:val="5000"/>
              </w14:schemeClr>
            </w14:solidFill>
          </w14:textFill>
        </w:rPr>
        <w:t>石家庄</w:t>
      </w:r>
      <w:r>
        <w:rPr>
          <w:rFonts w:hint="eastAsia" w:ascii="楷体_GB2312" w:hAnsi="楷体_GB2312" w:eastAsia="楷体_GB2312" w:cs="楷体_GB2312"/>
          <w:b/>
          <w:bCs/>
          <w:color w:val="0D0D0D" w:themeColor="text1" w:themeTint="F2"/>
          <w:sz w:val="48"/>
          <w:szCs w:val="56"/>
          <w:lang w:eastAsia="zh-CN"/>
          <w14:textFill>
            <w14:solidFill>
              <w14:schemeClr w14:val="tx1">
                <w14:lumMod w14:val="95000"/>
                <w14:lumOff w14:val="5000"/>
              </w14:schemeClr>
            </w14:solidFill>
          </w14:textFill>
        </w:rPr>
        <w:t>审计</w:t>
      </w:r>
      <w:r>
        <w:rPr>
          <w:rFonts w:hint="eastAsia" w:ascii="楷体_GB2312" w:hAnsi="楷体_GB2312" w:eastAsia="楷体_GB2312" w:cs="楷体_GB2312"/>
          <w:b/>
          <w:bCs/>
          <w:color w:val="0D0D0D" w:themeColor="text1" w:themeTint="F2"/>
          <w:sz w:val="48"/>
          <w:szCs w:val="56"/>
          <w14:textFill>
            <w14:solidFill>
              <w14:schemeClr w14:val="tx1">
                <w14:lumMod w14:val="95000"/>
                <w14:lumOff w14:val="5000"/>
              </w14:schemeClr>
            </w14:solidFill>
          </w14:textFill>
        </w:rPr>
        <w:t>局</w:t>
      </w:r>
    </w:p>
    <w:p>
      <w:pPr>
        <w:jc w:val="center"/>
        <w:rPr>
          <w:rFonts w:ascii="楷体_GB2312" w:hAnsi="楷体_GB2312" w:eastAsia="楷体_GB2312" w:cs="楷体_GB2312"/>
          <w:b/>
          <w:bCs/>
          <w:color w:val="0D0D0D" w:themeColor="text1" w:themeTint="F2"/>
          <w:sz w:val="48"/>
          <w:szCs w:val="56"/>
          <w14:textFill>
            <w14:solidFill>
              <w14:schemeClr w14:val="tx1">
                <w14:lumMod w14:val="95000"/>
                <w14:lumOff w14:val="5000"/>
              </w14:schemeClr>
            </w14:solidFill>
          </w14:textFill>
        </w:rPr>
      </w:pPr>
      <w:r>
        <w:rPr>
          <w:rFonts w:hint="eastAsia" w:ascii="楷体_GB2312" w:hAnsi="楷体_GB2312" w:eastAsia="楷体_GB2312" w:cs="楷体_GB2312"/>
          <w:b/>
          <w:bCs/>
          <w:color w:val="0D0D0D" w:themeColor="text1" w:themeTint="F2"/>
          <w:sz w:val="48"/>
          <w:szCs w:val="56"/>
          <w14:textFill>
            <w14:solidFill>
              <w14:schemeClr w14:val="tx1">
                <w14:lumMod w14:val="95000"/>
                <w14:lumOff w14:val="5000"/>
              </w14:schemeClr>
            </w14:solidFill>
          </w14:textFill>
        </w:rPr>
        <w:t>预算代码：</w:t>
      </w:r>
      <w:r>
        <w:rPr>
          <w:rFonts w:hint="eastAsia" w:ascii="楷体_GB2312" w:hAnsi="楷体_GB2312" w:eastAsia="楷体_GB2312" w:cs="楷体_GB2312"/>
          <w:b/>
          <w:bCs/>
          <w:color w:val="0D0D0D" w:themeColor="text1" w:themeTint="F2"/>
          <w:sz w:val="48"/>
          <w:szCs w:val="56"/>
          <w:lang w:val="en-US" w:eastAsia="zh-CN"/>
          <w14:textFill>
            <w14:solidFill>
              <w14:schemeClr w14:val="tx1">
                <w14:lumMod w14:val="95000"/>
                <w14:lumOff w14:val="5000"/>
              </w14:schemeClr>
            </w14:solidFill>
          </w14:textFill>
        </w:rPr>
        <w:t>319</w:t>
      </w:r>
    </w:p>
    <w:p>
      <w:pPr>
        <w:jc w:val="center"/>
        <w:rPr>
          <w:rFonts w:ascii="楷体_GB2312" w:hAnsi="楷体_GB2312" w:eastAsia="楷体_GB2312" w:cs="楷体_GB2312"/>
          <w:b/>
          <w:bCs/>
          <w:color w:val="0D0D0D" w:themeColor="text1" w:themeTint="F2"/>
          <w:sz w:val="48"/>
          <w:szCs w:val="56"/>
          <w14:textFill>
            <w14:solidFill>
              <w14:schemeClr w14:val="tx1">
                <w14:lumMod w14:val="95000"/>
                <w14:lumOff w14:val="5000"/>
              </w14:schemeClr>
            </w14:solidFill>
          </w14:textFill>
        </w:rPr>
      </w:pPr>
    </w:p>
    <w:p>
      <w:pPr>
        <w:jc w:val="center"/>
        <w:rPr>
          <w:rFonts w:ascii="楷体_GB2312" w:hAnsi="楷体_GB2312" w:eastAsia="楷体_GB2312" w:cs="楷体_GB2312"/>
          <w:b/>
          <w:bCs/>
          <w:color w:val="0D0D0D" w:themeColor="text1" w:themeTint="F2"/>
          <w:sz w:val="48"/>
          <w:szCs w:val="56"/>
          <w14:textFill>
            <w14:solidFill>
              <w14:schemeClr w14:val="tx1">
                <w14:lumMod w14:val="95000"/>
                <w14:lumOff w14:val="5000"/>
              </w14:schemeClr>
            </w14:solidFill>
          </w14:textFill>
        </w:rPr>
      </w:pPr>
      <w:r>
        <w:rPr>
          <w:rFonts w:hint="eastAsia" w:ascii="楷体_GB2312" w:hAnsi="楷体_GB2312" w:eastAsia="楷体_GB2312" w:cs="楷体_GB2312"/>
          <w:b/>
          <w:bCs/>
          <w:color w:val="0D0D0D" w:themeColor="text1" w:themeTint="F2"/>
          <w:sz w:val="48"/>
          <w:szCs w:val="56"/>
          <w14:textFill>
            <w14:solidFill>
              <w14:schemeClr w14:val="tx1">
                <w14:lumMod w14:val="95000"/>
                <w14:lumOff w14:val="5000"/>
              </w14:schemeClr>
            </w14:solidFill>
          </w14:textFill>
        </w:rPr>
        <w:t>二〇二五年九月</w:t>
      </w:r>
    </w:p>
    <w:p>
      <w:pPr>
        <w:spacing w:line="600" w:lineRule="auto"/>
        <w:jc w:val="left"/>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sectPr>
          <w:footerReference r:id="rId3" w:type="default"/>
          <w:pgSz w:w="11906" w:h="16838"/>
          <w:pgMar w:top="2098" w:right="1417" w:bottom="1871" w:left="1417" w:header="851" w:footer="992" w:gutter="0"/>
          <w:pgBorders>
            <w:top w:val="none" w:color="auto" w:sz="0" w:space="0"/>
            <w:left w:val="none" w:color="auto" w:sz="0" w:space="0"/>
            <w:bottom w:val="none" w:color="auto" w:sz="0" w:space="0"/>
            <w:right w:val="none" w:color="auto" w:sz="0" w:space="0"/>
          </w:pgBorders>
          <w:cols w:space="720" w:num="1"/>
          <w:docGrid w:type="lines" w:linePitch="312" w:charSpace="0"/>
        </w:sectPr>
      </w:pPr>
    </w:p>
    <w:p>
      <w:pPr>
        <w:spacing w:line="600" w:lineRule="auto"/>
        <w:jc w:val="center"/>
        <w:rPr>
          <w:rFonts w:hint="eastAsia" w:ascii="楷体_GB2312" w:hAnsi="楷体_GB2312" w:eastAsia="楷体_GB2312" w:cs="楷体_GB2312"/>
          <w:color w:val="000000"/>
          <w:sz w:val="40"/>
          <w:szCs w:val="40"/>
        </w:rPr>
      </w:pPr>
    </w:p>
    <w:p>
      <w:pPr>
        <w:rPr>
          <w:rFonts w:hint="eastAsia" w:ascii="黑体" w:hAnsi="黑体" w:eastAsia="黑体" w:cs="黑体"/>
          <w:b/>
          <w:bCs/>
          <w:sz w:val="32"/>
          <w:szCs w:val="36"/>
          <w:highlight w:val="yellow"/>
        </w:rPr>
      </w:pPr>
    </w:p>
    <w:p>
      <w:pPr>
        <w:widowControl/>
        <w:spacing w:before="0" w:beforeLines="0" w:beforeAutospacing="0" w:after="0" w:afterLines="0" w:afterAutospacing="0" w:line="360" w:lineRule="auto"/>
        <w:jc w:val="center"/>
        <w:rPr>
          <w:rFonts w:hint="eastAsia" w:ascii="方正小标宋简体" w:hAnsi="方正小标宋简体" w:eastAsia="方正小标宋简体" w:cs="方正小标宋简体"/>
          <w:b w:val="0"/>
          <w:sz w:val="52"/>
          <w:szCs w:val="52"/>
        </w:rPr>
      </w:pPr>
      <w:r>
        <w:rPr>
          <w:rFonts w:hint="eastAsia" w:ascii="方正小标宋简体" w:hAnsi="方正小标宋简体" w:eastAsia="方正小标宋简体" w:cs="方正小标宋简体"/>
          <w:b w:val="0"/>
          <w:sz w:val="52"/>
          <w:szCs w:val="52"/>
        </w:rPr>
        <w:t>石家庄市审计局</w:t>
      </w:r>
    </w:p>
    <w:p>
      <w:pPr>
        <w:widowControl/>
        <w:spacing w:before="0" w:beforeLines="0" w:beforeAutospacing="0" w:after="0" w:afterLines="0" w:afterAutospacing="0" w:line="360" w:lineRule="auto"/>
        <w:jc w:val="center"/>
        <w:rPr>
          <w:rFonts w:hint="eastAsia"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b w:val="0"/>
          <w:sz w:val="52"/>
          <w:szCs w:val="52"/>
        </w:rPr>
        <w:t>2024年度部门决算公开文本</w:t>
      </w:r>
    </w:p>
    <w:p>
      <w:pPr>
        <w:spacing w:line="360" w:lineRule="auto"/>
        <w:jc w:val="center"/>
        <w:rPr>
          <w:rFonts w:ascii="黑体" w:hAnsi="黑体" w:eastAsia="黑体" w:cs="黑体"/>
          <w:sz w:val="56"/>
          <w:szCs w:val="72"/>
        </w:rPr>
      </w:pPr>
    </w:p>
    <w:p>
      <w:pPr>
        <w:spacing w:line="600" w:lineRule="auto"/>
        <w:jc w:val="center"/>
        <w:rPr>
          <w:rFonts w:ascii="黑体" w:hAnsi="黑体" w:eastAsia="黑体" w:cs="黑体"/>
          <w:sz w:val="56"/>
          <w:szCs w:val="72"/>
        </w:rPr>
      </w:pPr>
    </w:p>
    <w:p>
      <w:pPr>
        <w:spacing w:line="600" w:lineRule="auto"/>
        <w:jc w:val="center"/>
        <w:rPr>
          <w:rFonts w:ascii="黑体" w:hAnsi="黑体" w:eastAsia="黑体" w:cs="黑体"/>
          <w:sz w:val="56"/>
          <w:szCs w:val="72"/>
        </w:rPr>
      </w:pPr>
    </w:p>
    <w:p>
      <w:pPr>
        <w:spacing w:line="480" w:lineRule="auto"/>
        <w:jc w:val="both"/>
        <w:rPr>
          <w:rFonts w:ascii="黑体" w:hAnsi="黑体" w:eastAsia="黑体" w:cs="黑体"/>
          <w:sz w:val="56"/>
          <w:szCs w:val="72"/>
        </w:rPr>
      </w:pPr>
    </w:p>
    <w:p>
      <w:pPr>
        <w:widowControl/>
        <w:spacing w:before="0" w:beforeLines="0" w:beforeAutospacing="0" w:after="0" w:afterLines="0" w:afterAutospacing="0" w:line="360" w:lineRule="auto"/>
        <w:jc w:val="center"/>
        <w:rPr>
          <w:rFonts w:ascii="Times New Roman" w:eastAsia="楷体_GB2312"/>
          <w:sz w:val="44"/>
          <w:szCs w:val="44"/>
        </w:rPr>
      </w:pPr>
      <w:r>
        <w:rPr>
          <w:rFonts w:ascii="Times New Roman" w:eastAsia="楷体_GB2312"/>
          <w:b w:val="0"/>
          <w:sz w:val="44"/>
          <w:szCs w:val="44"/>
        </w:rPr>
        <w:t>石家庄市审计局(</w:t>
      </w:r>
      <w:r>
        <w:rPr>
          <w:rFonts w:hint="eastAsia" w:ascii="Times New Roman" w:eastAsia="楷体_GB2312"/>
          <w:b w:val="0"/>
          <w:sz w:val="44"/>
          <w:szCs w:val="44"/>
          <w:lang w:eastAsia="zh-CN"/>
        </w:rPr>
        <w:t>部门</w:t>
      </w:r>
      <w:r>
        <w:rPr>
          <w:rFonts w:ascii="Times New Roman" w:eastAsia="楷体_GB2312"/>
          <w:b w:val="0"/>
          <w:sz w:val="44"/>
          <w:szCs w:val="44"/>
        </w:rPr>
        <w:t>名称，加盖公章）</w:t>
      </w:r>
    </w:p>
    <w:p>
      <w:pPr>
        <w:widowControl/>
        <w:spacing w:before="0" w:beforeLines="0" w:beforeAutospacing="0" w:after="0" w:afterLines="0" w:afterAutospacing="0" w:line="360" w:lineRule="auto"/>
        <w:jc w:val="center"/>
        <w:rPr>
          <w:rFonts w:ascii="Times New Roman" w:eastAsia="楷体_GB2312"/>
          <w:sz w:val="44"/>
          <w:szCs w:val="44"/>
        </w:rPr>
      </w:pPr>
      <w:r>
        <w:rPr>
          <w:rFonts w:ascii="Times New Roman" w:eastAsia="楷体_GB2312"/>
          <w:b w:val="0"/>
          <w:sz w:val="44"/>
          <w:szCs w:val="44"/>
        </w:rPr>
        <w:t>二〇二五年八月</w:t>
      </w:r>
    </w:p>
    <w:p>
      <w:pPr>
        <w:snapToGrid w:val="0"/>
        <w:jc w:val="left"/>
        <w:rPr>
          <w:rFonts w:hint="eastAsia" w:ascii="楷体_GB2312" w:hAnsi="楷体_GB2312" w:eastAsia="楷体_GB2312" w:cs="楷体_GB2312"/>
          <w:color w:val="000000" w:themeColor="text1"/>
          <w:kern w:val="0"/>
          <w:sz w:val="44"/>
          <w:szCs w:val="44"/>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p>
    <w:p>
      <w:pPr>
        <w:snapToGrid w:val="0"/>
        <w:jc w:val="left"/>
        <w:rPr>
          <w:rFonts w:hint="default" w:ascii="楷体_GB2312" w:hAnsi="楷体_GB2312" w:eastAsia="楷体_GB2312" w:cs="楷体_GB2312"/>
          <w:color w:val="000000" w:themeColor="text1"/>
          <w:kern w:val="0"/>
          <w:sz w:val="44"/>
          <w:szCs w:val="44"/>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sectPr>
          <w:pgSz w:w="11906" w:h="16838"/>
          <w:pgMar w:top="1531" w:right="1984" w:bottom="1531" w:left="2098" w:header="851" w:footer="992" w:gutter="0"/>
          <w:pgBorders>
            <w:top w:val="none" w:color="auto" w:sz="0" w:space="0"/>
            <w:left w:val="none" w:color="auto" w:sz="0" w:space="0"/>
            <w:bottom w:val="none" w:color="auto" w:sz="0" w:space="0"/>
            <w:right w:val="none" w:color="auto" w:sz="0" w:space="0"/>
          </w:pgBorders>
          <w:cols w:space="720" w:num="1"/>
          <w:docGrid w:type="lines" w:linePitch="312" w:charSpace="0"/>
        </w:sectPr>
      </w:pPr>
    </w:p>
    <w:p>
      <w:pPr>
        <w:widowControl/>
        <w:spacing w:line="600" w:lineRule="exact"/>
        <w:jc w:val="left"/>
        <w:rPr>
          <w:rFonts w:ascii="黑体" w:hAnsi="黑体" w:eastAsia="黑体" w:cs="黑体"/>
          <w:bCs/>
          <w:sz w:val="32"/>
          <w:szCs w:val="32"/>
        </w:rPr>
      </w:pPr>
    </w:p>
    <w:p>
      <w:pPr>
        <w:tabs>
          <w:tab w:val="left" w:pos="2728"/>
        </w:tabs>
        <w:jc w:val="center"/>
        <w:rPr>
          <w:rFonts w:ascii="黑体" w:hAnsi="Times New Roman" w:eastAsia="黑体" w:cs="Times New Roman"/>
          <w:sz w:val="48"/>
          <w:szCs w:val="48"/>
        </w:rPr>
      </w:pPr>
    </w:p>
    <w:p>
      <w:pPr>
        <w:widowControl/>
        <w:spacing w:before="0" w:beforeLines="0" w:beforeAutospacing="0" w:after="0" w:afterLines="0" w:afterAutospacing="0" w:line="360" w:lineRule="auto"/>
        <w:jc w:val="center"/>
        <w:outlineLvl w:val="0"/>
        <w:rPr>
          <w:rFonts w:ascii="Times New Roman" w:eastAsia="黑体"/>
          <w:sz w:val="44"/>
          <w:szCs w:val="44"/>
        </w:rPr>
      </w:pPr>
      <w:r>
        <w:rPr>
          <w:rFonts w:ascii="Times New Roman" w:eastAsia="黑体"/>
          <w:b w:val="0"/>
          <w:sz w:val="44"/>
          <w:szCs w:val="44"/>
        </w:rPr>
        <w:t>目录</w:t>
      </w:r>
    </w:p>
    <w:p>
      <w:pPr>
        <w:widowControl/>
        <w:spacing w:after="160" w:line="580" w:lineRule="exact"/>
        <w:ind w:firstLine="640" w:firstLineChars="200"/>
        <w:rPr>
          <w:rFonts w:ascii="Times New Roman" w:hAnsi="Times New Roman" w:eastAsia="黑体" w:cs="Times New Roman"/>
          <w:sz w:val="32"/>
          <w:szCs w:val="32"/>
        </w:rPr>
      </w:pPr>
    </w:p>
    <w:p>
      <w:pPr>
        <w:widowControl/>
        <w:spacing w:before="0" w:beforeLines="0" w:beforeAutospacing="0" w:after="0" w:afterLines="0" w:afterAutospacing="0" w:line="360" w:lineRule="auto"/>
        <w:jc w:val="left"/>
        <w:rPr>
          <w:rFonts w:ascii="Times New Roman" w:eastAsia="黑体"/>
          <w:sz w:val="32"/>
          <w:szCs w:val="32"/>
        </w:rPr>
      </w:pPr>
      <w:r>
        <w:rPr>
          <w:rFonts w:ascii="Times New Roman" w:eastAsia="黑体"/>
          <w:b w:val="0"/>
          <w:sz w:val="32"/>
          <w:szCs w:val="32"/>
        </w:rPr>
        <w:t>第一部分</w:t>
      </w:r>
      <w:r>
        <w:rPr>
          <w:rFonts w:hint="eastAsia" w:ascii="Times New Roman" w:eastAsia="黑体"/>
          <w:b w:val="0"/>
          <w:sz w:val="32"/>
          <w:szCs w:val="32"/>
          <w:lang w:eastAsia="zh-CN"/>
        </w:rPr>
        <w:t>部门</w:t>
      </w:r>
      <w:r>
        <w:rPr>
          <w:rFonts w:ascii="Times New Roman" w:eastAsia="黑体"/>
          <w:b w:val="0"/>
          <w:sz w:val="32"/>
          <w:szCs w:val="32"/>
        </w:rPr>
        <w:t>概况</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一、</w:t>
      </w:r>
      <w:r>
        <w:rPr>
          <w:rFonts w:hint="eastAsia" w:ascii="Times New Roman" w:eastAsia="仿宋_GB2312"/>
          <w:b w:val="0"/>
          <w:sz w:val="32"/>
          <w:szCs w:val="32"/>
          <w:lang w:eastAsia="zh-CN"/>
        </w:rPr>
        <w:t>部门</w:t>
      </w:r>
      <w:r>
        <w:rPr>
          <w:rFonts w:ascii="Times New Roman" w:eastAsia="仿宋_GB2312"/>
          <w:b w:val="0"/>
          <w:sz w:val="32"/>
          <w:szCs w:val="32"/>
        </w:rPr>
        <w:t>职责</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二、机构设置</w:t>
      </w:r>
    </w:p>
    <w:p>
      <w:pPr>
        <w:widowControl/>
        <w:spacing w:before="0" w:beforeLines="0" w:beforeAutospacing="0" w:after="0" w:afterLines="0" w:afterAutospacing="0" w:line="360" w:lineRule="auto"/>
        <w:jc w:val="left"/>
        <w:outlineLvl w:val="0"/>
        <w:rPr>
          <w:rFonts w:ascii="Times New Roman" w:eastAsia="黑体"/>
          <w:sz w:val="32"/>
          <w:szCs w:val="32"/>
        </w:rPr>
      </w:pPr>
      <w:r>
        <w:rPr>
          <w:rFonts w:ascii="Times New Roman" w:eastAsia="黑体"/>
          <w:b w:val="0"/>
          <w:sz w:val="32"/>
          <w:szCs w:val="32"/>
        </w:rPr>
        <w:t>第二部分2024年度部门决算报表</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一、收入支出决算总表</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二、收入决算表</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三、支出决算表</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四、财政拨款收入支出决算总表</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五、一般公共预算财政拨款支出决算表</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六、一般公共预算财政拨款基本支出决算明细表</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七、政府性基金预算财政拨款收入支出决算表</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八、国有资本经营预算财政拨款支出决算表</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九、财政拨款“三公”经费支出决算表</w:t>
      </w:r>
    </w:p>
    <w:p>
      <w:pPr>
        <w:widowControl/>
        <w:spacing w:before="0" w:beforeLines="0" w:beforeAutospacing="0" w:after="0" w:afterLines="0" w:afterAutospacing="0" w:line="360" w:lineRule="auto"/>
        <w:jc w:val="left"/>
        <w:rPr>
          <w:rFonts w:ascii="Times New Roman" w:eastAsia="黑体"/>
          <w:sz w:val="32"/>
          <w:szCs w:val="32"/>
        </w:rPr>
      </w:pPr>
      <w:r>
        <w:rPr>
          <w:rFonts w:ascii="Times New Roman" w:eastAsia="黑体"/>
          <w:b w:val="0"/>
          <w:sz w:val="32"/>
          <w:szCs w:val="32"/>
        </w:rPr>
        <w:t>第三部分2024年度部门决算情况说明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一、收入支出决算总体情况说明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二、收入决算情况说明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三、支出决算情况说明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四、财政拨款收入支出决算总体情况说明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五、财政拨款“三公”经费支出决算情况说明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六、机关运行经费支出说明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七、政府采购支出说明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八、国有资产占用情况说明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九、关于2024年度绩效评价情况的说明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十、其他需要说明的情况</w:t>
      </w:r>
    </w:p>
    <w:p>
      <w:pPr>
        <w:widowControl/>
        <w:spacing w:before="0" w:beforeLines="0" w:beforeAutospacing="0" w:after="0" w:afterLines="0" w:afterAutospacing="0" w:line="360" w:lineRule="auto"/>
        <w:jc w:val="left"/>
        <w:rPr>
          <w:rFonts w:ascii="Times New Roman" w:eastAsia="黑体"/>
          <w:sz w:val="32"/>
          <w:szCs w:val="32"/>
        </w:rPr>
      </w:pPr>
      <w:r>
        <w:rPr>
          <w:rFonts w:ascii="Times New Roman" w:eastAsia="黑体"/>
          <w:b w:val="0"/>
          <w:sz w:val="32"/>
          <w:szCs w:val="32"/>
        </w:rPr>
        <w:t>第四部分名词解释</w:t>
      </w:r>
    </w:p>
    <w:p>
      <w:pPr>
        <w:widowControl/>
        <w:spacing w:after="160" w:line="580" w:lineRule="exact"/>
        <w:rPr>
          <w:rFonts w:hint="eastAsia" w:ascii="Times New Roman" w:hAnsi="Times New Roman" w:eastAsia="黑体" w:cs="Times New Roman"/>
          <w:sz w:val="32"/>
          <w:szCs w:val="32"/>
          <w:lang w:val="en-US" w:eastAsia="zh-CN"/>
        </w:rPr>
        <w:sectPr>
          <w:headerReference r:id="rId5" w:type="first"/>
          <w:footerReference r:id="rId7" w:type="first"/>
          <w:headerReference r:id="rId4" w:type="default"/>
          <w:footerReference r:id="rId6" w:type="default"/>
          <w:pgSz w:w="11906" w:h="16838"/>
          <w:pgMar w:top="1474" w:right="1531" w:bottom="1474" w:left="1531" w:header="851" w:footer="992" w:gutter="0"/>
          <w:pgBorders>
            <w:top w:val="none" w:color="auto" w:sz="0" w:space="0"/>
            <w:left w:val="none" w:color="auto" w:sz="0" w:space="0"/>
            <w:bottom w:val="none" w:color="auto" w:sz="0" w:space="0"/>
            <w:right w:val="none" w:color="auto" w:sz="0" w:space="0"/>
          </w:pgBorders>
          <w:cols w:space="0" w:num="1"/>
          <w:titlePg/>
          <w:docGrid w:type="lines" w:linePitch="312" w:charSpace="0"/>
        </w:sectPr>
      </w:pPr>
    </w:p>
    <w:p>
      <w:pPr>
        <w:widowControl/>
        <w:spacing w:before="0" w:beforeLines="0" w:beforeAutospacing="0" w:after="0" w:afterLines="0" w:afterAutospacing="0" w:line="360" w:lineRule="auto"/>
        <w:jc w:val="center"/>
        <w:outlineLvl w:val="0"/>
        <w:rPr>
          <w:rFonts w:ascii="Times New Roman" w:eastAsia="黑体"/>
          <w:sz w:val="44"/>
          <w:szCs w:val="44"/>
        </w:rPr>
      </w:pPr>
      <w:r>
        <w:rPr>
          <w:rFonts w:ascii="Times New Roman" w:eastAsia="黑体"/>
          <w:b w:val="0"/>
          <w:sz w:val="44"/>
          <w:szCs w:val="44"/>
        </w:rPr>
        <w:t>第一部分</w:t>
      </w:r>
      <w:r>
        <w:rPr>
          <w:rFonts w:hint="eastAsia" w:ascii="Times New Roman" w:eastAsia="黑体"/>
          <w:b w:val="0"/>
          <w:sz w:val="44"/>
          <w:szCs w:val="44"/>
          <w:lang w:eastAsia="zh-CN"/>
        </w:rPr>
        <w:t>部门</w:t>
      </w:r>
      <w:r>
        <w:rPr>
          <w:rFonts w:ascii="Times New Roman" w:eastAsia="黑体"/>
          <w:b w:val="0"/>
          <w:sz w:val="44"/>
          <w:szCs w:val="44"/>
        </w:rPr>
        <w:t>概况</w:t>
      </w:r>
    </w:p>
    <w:p>
      <w:pPr>
        <w:widowControl/>
        <w:spacing w:before="0" w:beforeLines="0" w:beforeAutospacing="0" w:after="0" w:afterLines="0" w:afterAutospacing="0" w:line="360" w:lineRule="auto"/>
        <w:jc w:val="left"/>
        <w:outlineLvl w:val="1"/>
        <w:rPr>
          <w:rFonts w:ascii="Times New Roman" w:eastAsia="黑体"/>
          <w:sz w:val="32"/>
          <w:szCs w:val="32"/>
        </w:rPr>
      </w:pPr>
      <w:r>
        <w:rPr>
          <w:rFonts w:ascii="Times New Roman" w:eastAsia="黑体"/>
          <w:b w:val="0"/>
          <w:sz w:val="32"/>
          <w:szCs w:val="32"/>
        </w:rPr>
        <w:t>一、</w:t>
      </w:r>
      <w:r>
        <w:rPr>
          <w:rFonts w:hint="eastAsia" w:ascii="Times New Roman" w:eastAsia="黑体"/>
          <w:b w:val="0"/>
          <w:sz w:val="32"/>
          <w:szCs w:val="32"/>
          <w:lang w:eastAsia="zh-CN"/>
        </w:rPr>
        <w:t>部门</w:t>
      </w:r>
      <w:r>
        <w:rPr>
          <w:rFonts w:ascii="Times New Roman" w:eastAsia="黑体"/>
          <w:b w:val="0"/>
          <w:sz w:val="32"/>
          <w:szCs w:val="32"/>
        </w:rPr>
        <w:t>职责</w:t>
      </w:r>
    </w:p>
    <w:p>
      <w:pPr>
        <w:widowControl/>
        <w:spacing w:before="0" w:beforeLines="0" w:beforeAutospacing="0" w:after="0" w:afterLines="0" w:afterAutospacing="0" w:line="360" w:lineRule="auto"/>
        <w:ind w:firstLine="200" w:firstLineChars="200"/>
        <w:jc w:val="left"/>
        <w:rPr>
          <w:rFonts w:hint="eastAsia" w:ascii="Times New Roman" w:eastAsia="仿宋_GB2312"/>
          <w:sz w:val="32"/>
          <w:szCs w:val="32"/>
        </w:rPr>
      </w:pPr>
      <w:r>
        <w:rPr>
          <w:rFonts w:hint="eastAsia" w:ascii="Times New Roman" w:eastAsia="仿宋_GB2312"/>
          <w:sz w:val="32"/>
          <w:szCs w:val="32"/>
        </w:rPr>
        <w:t>（一）主管全市审计工作。负责对全市财政收支和依法属于审计监督范围的财务收支的真实、合法和效益进行审计监督，对公共资金、国有资产、国有资源和领导干部履行经济责任情况实行审计全覆盖，对领导干部实行自然资源资产离任审计，对省、市党委、政府有关重大政策措施贯彻落实情况进行跟踪审计。对审计、专项审计调查和核查社会审计机构相关审计报告的结果承担责任，并负有督促被审计</w:t>
      </w:r>
      <w:r>
        <w:rPr>
          <w:rFonts w:hint="eastAsia" w:ascii="Times New Roman" w:eastAsia="仿宋_GB2312"/>
          <w:sz w:val="32"/>
          <w:szCs w:val="32"/>
          <w:lang w:eastAsia="zh-CN"/>
        </w:rPr>
        <w:t>部门</w:t>
      </w:r>
      <w:r>
        <w:rPr>
          <w:rFonts w:hint="eastAsia" w:ascii="Times New Roman" w:eastAsia="仿宋_GB2312"/>
          <w:sz w:val="32"/>
          <w:szCs w:val="32"/>
        </w:rPr>
        <w:t>整改的责任。</w:t>
      </w:r>
    </w:p>
    <w:p>
      <w:pPr>
        <w:widowControl/>
        <w:spacing w:before="0" w:beforeLines="0" w:beforeAutospacing="0" w:after="0" w:afterLines="0" w:afterAutospacing="0" w:line="360" w:lineRule="auto"/>
        <w:ind w:firstLine="200" w:firstLineChars="200"/>
        <w:jc w:val="left"/>
        <w:rPr>
          <w:rFonts w:hint="eastAsia" w:ascii="Times New Roman" w:eastAsia="仿宋_GB2312"/>
          <w:sz w:val="32"/>
          <w:szCs w:val="32"/>
        </w:rPr>
      </w:pPr>
      <w:r>
        <w:rPr>
          <w:rFonts w:hint="eastAsia" w:ascii="Times New Roman" w:eastAsia="仿宋_GB2312"/>
          <w:sz w:val="32"/>
          <w:szCs w:val="32"/>
        </w:rPr>
        <w:t>（二）贯彻执行审计法律、法规和方针、政策。组织起草审计地方性法规、政府规章草案；拟订审计工作发展规划、专业领域审计工作规划，以及年度审计计划并组织实施，对直接审计、调查和核查的事项依法进行审计评价，作出审计决定或提出审计建议。</w:t>
      </w:r>
    </w:p>
    <w:p>
      <w:pPr>
        <w:widowControl/>
        <w:spacing w:before="0" w:beforeLines="0" w:beforeAutospacing="0" w:after="0" w:afterLines="0" w:afterAutospacing="0" w:line="360" w:lineRule="auto"/>
        <w:ind w:firstLine="200" w:firstLineChars="200"/>
        <w:jc w:val="left"/>
        <w:rPr>
          <w:rFonts w:hint="eastAsia" w:ascii="Times New Roman" w:eastAsia="仿宋_GB2312"/>
          <w:sz w:val="32"/>
          <w:szCs w:val="32"/>
        </w:rPr>
      </w:pPr>
      <w:r>
        <w:rPr>
          <w:rFonts w:hint="eastAsia" w:ascii="Times New Roman" w:eastAsia="仿宋_GB2312"/>
          <w:sz w:val="32"/>
          <w:szCs w:val="32"/>
        </w:rPr>
        <w:t>（三）向中共石家庄市委审计委员会提出年度市本级预算执行和其他财政收支情况审计报告。向市长提出年度市本级预算执行和其他财政收支情况的审计结果报告。组织起草市政府向市人大常委会提出市本级预算执行和其他财政收支情况的审计工作报告、审计查出问题整改情况报告。向市委、市政府报告对其他事项的审计和专项审计调查情况及结果。依法向社会公布审计结果。向被审计</w:t>
      </w:r>
      <w:r>
        <w:rPr>
          <w:rFonts w:hint="eastAsia" w:ascii="Times New Roman" w:eastAsia="仿宋_GB2312"/>
          <w:sz w:val="32"/>
          <w:szCs w:val="32"/>
          <w:lang w:eastAsia="zh-CN"/>
        </w:rPr>
        <w:t>部门</w:t>
      </w:r>
      <w:r>
        <w:rPr>
          <w:rFonts w:hint="eastAsia" w:ascii="Times New Roman" w:eastAsia="仿宋_GB2312"/>
          <w:sz w:val="32"/>
          <w:szCs w:val="32"/>
        </w:rPr>
        <w:t>通报审计情况和审计结果。</w:t>
      </w:r>
    </w:p>
    <w:p>
      <w:pPr>
        <w:widowControl/>
        <w:spacing w:before="0" w:beforeLines="0" w:beforeAutospacing="0" w:after="0" w:afterLines="0" w:afterAutospacing="0" w:line="360" w:lineRule="auto"/>
        <w:ind w:firstLine="200" w:firstLineChars="200"/>
        <w:jc w:val="left"/>
        <w:rPr>
          <w:rFonts w:hint="eastAsia" w:ascii="Times New Roman" w:eastAsia="仿宋_GB2312"/>
          <w:sz w:val="32"/>
          <w:szCs w:val="32"/>
        </w:rPr>
      </w:pPr>
      <w:r>
        <w:rPr>
          <w:rFonts w:hint="eastAsia" w:ascii="Times New Roman" w:eastAsia="仿宋_GB2312"/>
          <w:sz w:val="32"/>
          <w:szCs w:val="32"/>
        </w:rPr>
        <w:t>（四）直接审计下列事项，出具审计报告，在法定职权范围内作出审计决定，包括国家和省、市有关重大政策措施贯彻落实情况；市本级预算执行情况和其他财政收支，市直各部门（含所属</w:t>
      </w:r>
      <w:r>
        <w:rPr>
          <w:rFonts w:hint="eastAsia" w:ascii="Times New Roman" w:eastAsia="仿宋_GB2312"/>
          <w:sz w:val="32"/>
          <w:szCs w:val="32"/>
          <w:lang w:eastAsia="zh-CN"/>
        </w:rPr>
        <w:t>部门</w:t>
      </w:r>
      <w:r>
        <w:rPr>
          <w:rFonts w:hint="eastAsia" w:ascii="Times New Roman" w:eastAsia="仿宋_GB2312"/>
          <w:sz w:val="32"/>
          <w:szCs w:val="32"/>
        </w:rPr>
        <w:t>）预算执行情况、决算草案和其他财政收支；县（市、区）政府预算执行情况、决算草案和其他财政收支；中央、省和市财政转移支付资金；使用市本级财政资金的事业</w:t>
      </w:r>
      <w:r>
        <w:rPr>
          <w:rFonts w:hint="eastAsia" w:ascii="Times New Roman" w:eastAsia="仿宋_GB2312"/>
          <w:sz w:val="32"/>
          <w:szCs w:val="32"/>
          <w:lang w:eastAsia="zh-CN"/>
        </w:rPr>
        <w:t>部门</w:t>
      </w:r>
      <w:r>
        <w:rPr>
          <w:rFonts w:hint="eastAsia" w:ascii="Times New Roman" w:eastAsia="仿宋_GB2312"/>
          <w:sz w:val="32"/>
          <w:szCs w:val="32"/>
        </w:rPr>
        <w:t>和社会团体的财务收支；市投资和以市投资为主的建设项目的预算执行情况和决算，市重大公共工程项目的资金管理使用和建设运营情况；自然资源管理、污染防治和生态保护与修复情况；市属国有企业、市属国有资本占控股或主导地位的企业，上级授权审计的金融机构的境内外资产、负债和损益，市驻外非经营性机构的财务收支；有关社会保障基金、社会捐赠资金和其他基金、资金的财务收支；上级授权审计的国际组织和外国政府援助、贷款项目的财务收支；法律法规规定的其他事项。</w:t>
      </w:r>
    </w:p>
    <w:p>
      <w:pPr>
        <w:widowControl/>
        <w:spacing w:before="0" w:beforeLines="0" w:beforeAutospacing="0" w:after="0" w:afterLines="0" w:afterAutospacing="0" w:line="360" w:lineRule="auto"/>
        <w:ind w:firstLine="200" w:firstLineChars="200"/>
        <w:jc w:val="left"/>
        <w:rPr>
          <w:rFonts w:hint="eastAsia" w:ascii="Times New Roman" w:eastAsia="仿宋_GB2312"/>
          <w:sz w:val="32"/>
          <w:szCs w:val="32"/>
        </w:rPr>
      </w:pPr>
      <w:r>
        <w:rPr>
          <w:rFonts w:hint="eastAsia" w:ascii="Times New Roman" w:eastAsia="仿宋_GB2312"/>
          <w:sz w:val="32"/>
          <w:szCs w:val="32"/>
        </w:rPr>
        <w:t>（五）按规定对市管党政主要领导干部及其他</w:t>
      </w:r>
      <w:r>
        <w:rPr>
          <w:rFonts w:hint="eastAsia" w:ascii="Times New Roman" w:eastAsia="仿宋_GB2312"/>
          <w:sz w:val="32"/>
          <w:szCs w:val="32"/>
          <w:lang w:eastAsia="zh-CN"/>
        </w:rPr>
        <w:t>部门</w:t>
      </w:r>
      <w:r>
        <w:rPr>
          <w:rFonts w:hint="eastAsia" w:ascii="Times New Roman" w:eastAsia="仿宋_GB2312"/>
          <w:sz w:val="32"/>
          <w:szCs w:val="32"/>
        </w:rPr>
        <w:t>主要负责人实施经济责任审计和自然资源资产离任审计。</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640" w:firstLineChars="200"/>
        <w:jc w:val="left"/>
        <w:textAlignment w:val="auto"/>
        <w:outlineLvl w:val="9"/>
        <w:rPr>
          <w:rFonts w:hint="eastAsia" w:ascii="Times New Roman" w:eastAsia="仿宋_GB2312"/>
          <w:sz w:val="32"/>
          <w:szCs w:val="32"/>
        </w:rPr>
      </w:pPr>
      <w:r>
        <w:rPr>
          <w:rFonts w:hint="eastAsia" w:ascii="Times New Roman" w:eastAsia="仿宋_GB2312"/>
          <w:sz w:val="32"/>
          <w:szCs w:val="32"/>
        </w:rPr>
        <w:t>（六）组织实施对财经法律法规、规章、政策和宏观调控措施执行情况、财政预算管理及国有资产管理使用等与财政收支有关的特定事项进行专项审计调查</w:t>
      </w:r>
      <w:r>
        <w:rPr>
          <w:rFonts w:hint="eastAsia" w:ascii="Times New Roman" w:eastAsia="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640" w:firstLineChars="200"/>
        <w:jc w:val="left"/>
        <w:textAlignment w:val="auto"/>
        <w:outlineLvl w:val="9"/>
        <w:rPr>
          <w:rFonts w:hint="eastAsia" w:ascii="Times New Roman" w:eastAsia="仿宋_GB2312"/>
          <w:sz w:val="32"/>
          <w:szCs w:val="32"/>
        </w:rPr>
      </w:pPr>
      <w:r>
        <w:rPr>
          <w:rFonts w:hint="eastAsia" w:ascii="Times New Roman" w:eastAsia="仿宋_GB2312"/>
          <w:sz w:val="32"/>
          <w:szCs w:val="32"/>
        </w:rPr>
        <w:t>（七）依法检查审计决定执行情况，督促整改审计查出的问题，依法办理被审计</w:t>
      </w:r>
      <w:r>
        <w:rPr>
          <w:rFonts w:hint="eastAsia" w:ascii="Times New Roman" w:eastAsia="仿宋_GB2312"/>
          <w:sz w:val="32"/>
          <w:szCs w:val="32"/>
          <w:lang w:eastAsia="zh-CN"/>
        </w:rPr>
        <w:t>部门</w:t>
      </w:r>
      <w:r>
        <w:rPr>
          <w:rFonts w:hint="eastAsia" w:ascii="Times New Roman" w:eastAsia="仿宋_GB2312"/>
          <w:sz w:val="32"/>
          <w:szCs w:val="32"/>
        </w:rPr>
        <w:t>对审计决定提请行政复议、行政诉讼或市政府裁决中的有关事项；协助配合有关部门查处相关重大案件。</w:t>
      </w:r>
    </w:p>
    <w:p>
      <w:pPr>
        <w:widowControl/>
        <w:spacing w:before="0" w:beforeLines="0" w:beforeAutospacing="0" w:after="0" w:afterLines="0" w:afterAutospacing="0" w:line="360" w:lineRule="auto"/>
        <w:ind w:firstLine="200" w:firstLineChars="200"/>
        <w:jc w:val="left"/>
        <w:rPr>
          <w:rFonts w:hint="eastAsia" w:ascii="Times New Roman" w:eastAsia="仿宋_GB2312"/>
          <w:sz w:val="32"/>
          <w:szCs w:val="32"/>
        </w:rPr>
      </w:pPr>
      <w:r>
        <w:rPr>
          <w:rFonts w:hint="eastAsia" w:ascii="Times New Roman" w:eastAsia="仿宋_GB2312"/>
          <w:sz w:val="32"/>
          <w:szCs w:val="32"/>
        </w:rPr>
        <w:t>（八）指导和监督内部审计工作，核查社会审计机构对依法属于审计监督对象的</w:t>
      </w:r>
      <w:r>
        <w:rPr>
          <w:rFonts w:hint="eastAsia" w:ascii="Times New Roman" w:eastAsia="仿宋_GB2312"/>
          <w:sz w:val="32"/>
          <w:szCs w:val="32"/>
          <w:lang w:eastAsia="zh-CN"/>
        </w:rPr>
        <w:t>部门</w:t>
      </w:r>
      <w:r>
        <w:rPr>
          <w:rFonts w:hint="eastAsia" w:ascii="Times New Roman" w:eastAsia="仿宋_GB2312"/>
          <w:sz w:val="32"/>
          <w:szCs w:val="32"/>
        </w:rPr>
        <w:t>出具的相关审计告。</w:t>
      </w:r>
    </w:p>
    <w:p>
      <w:pPr>
        <w:widowControl/>
        <w:spacing w:before="0" w:beforeLines="0" w:beforeAutospacing="0" w:after="0" w:afterLines="0" w:afterAutospacing="0" w:line="360" w:lineRule="auto"/>
        <w:ind w:firstLine="200" w:firstLineChars="200"/>
        <w:jc w:val="left"/>
        <w:rPr>
          <w:rFonts w:hint="eastAsia" w:ascii="Times New Roman" w:eastAsia="仿宋_GB2312"/>
          <w:sz w:val="32"/>
          <w:szCs w:val="32"/>
        </w:rPr>
      </w:pPr>
      <w:r>
        <w:rPr>
          <w:rFonts w:hint="eastAsia" w:ascii="Times New Roman" w:eastAsia="仿宋_GB2312"/>
          <w:sz w:val="32"/>
          <w:szCs w:val="32"/>
        </w:rPr>
        <w:t>（九）与县（市、区）党委、政府共同领导县（市、区）审计机关。依法领导和监督县（市、区）审计机关的业务，组织县（市、区）审计机关实施特定项目的专项审计或审计调查，纠正或责成纠正县（市、区）审计机关违反国家规定作出的审计决定。按照干部管理权限协助管理县（市、区）审计机关负责人。</w:t>
      </w:r>
    </w:p>
    <w:p>
      <w:pPr>
        <w:widowControl/>
        <w:spacing w:before="0" w:beforeLines="0" w:beforeAutospacing="0" w:after="0" w:afterLines="0" w:afterAutospacing="0" w:line="360" w:lineRule="auto"/>
        <w:ind w:firstLine="200" w:firstLineChars="200"/>
        <w:jc w:val="left"/>
        <w:rPr>
          <w:rFonts w:hint="eastAsia" w:ascii="Times New Roman" w:eastAsia="仿宋_GB2312"/>
          <w:sz w:val="32"/>
          <w:szCs w:val="32"/>
        </w:rPr>
      </w:pPr>
      <w:r>
        <w:rPr>
          <w:rFonts w:hint="eastAsia" w:ascii="Times New Roman" w:eastAsia="仿宋_GB2312"/>
          <w:sz w:val="32"/>
          <w:szCs w:val="32"/>
        </w:rPr>
        <w:t>（十）会同市委机构编制委员会办公室，对党政机关及直属事业</w:t>
      </w:r>
      <w:r>
        <w:rPr>
          <w:rFonts w:hint="eastAsia" w:ascii="Times New Roman" w:eastAsia="仿宋_GB2312"/>
          <w:sz w:val="32"/>
          <w:szCs w:val="32"/>
          <w:lang w:eastAsia="zh-CN"/>
        </w:rPr>
        <w:t>部门</w:t>
      </w:r>
      <w:r>
        <w:rPr>
          <w:rFonts w:hint="eastAsia" w:ascii="Times New Roman" w:eastAsia="仿宋_GB2312"/>
          <w:sz w:val="32"/>
          <w:szCs w:val="32"/>
        </w:rPr>
        <w:t>的机构设置、编制使用，以及有关机构编制规定的执行情况进行审计调查。</w:t>
      </w:r>
    </w:p>
    <w:p>
      <w:pPr>
        <w:widowControl/>
        <w:spacing w:before="0" w:beforeLines="0" w:beforeAutospacing="0" w:after="0" w:afterLines="0" w:afterAutospacing="0" w:line="360" w:lineRule="auto"/>
        <w:ind w:firstLine="200" w:firstLineChars="200"/>
        <w:jc w:val="left"/>
        <w:rPr>
          <w:rFonts w:hint="eastAsia" w:ascii="Times New Roman" w:eastAsia="仿宋_GB2312"/>
          <w:sz w:val="32"/>
          <w:szCs w:val="32"/>
        </w:rPr>
      </w:pPr>
      <w:r>
        <w:rPr>
          <w:rFonts w:hint="eastAsia" w:ascii="Times New Roman" w:eastAsia="仿宋_GB2312"/>
          <w:sz w:val="32"/>
          <w:szCs w:val="32"/>
        </w:rPr>
        <w:t>（十一）组织开展审计领域的交流与合作，负责审计信息系统建设，指导和推广信息技术在审计领域的应用。</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hint="eastAsia" w:ascii="Times New Roman" w:eastAsia="仿宋_GB2312"/>
          <w:sz w:val="32"/>
          <w:szCs w:val="32"/>
        </w:rPr>
        <w:t>（十二）完成市委、市政府和上级审计机关交办的其他任务。</w:t>
      </w:r>
    </w:p>
    <w:p>
      <w:pPr>
        <w:widowControl/>
        <w:spacing w:before="0" w:beforeLines="0" w:beforeAutospacing="0" w:after="0" w:afterLines="0" w:afterAutospacing="0" w:line="360" w:lineRule="auto"/>
        <w:jc w:val="left"/>
        <w:outlineLvl w:val="1"/>
        <w:rPr>
          <w:rFonts w:ascii="Times New Roman" w:eastAsia="黑体"/>
          <w:sz w:val="32"/>
          <w:szCs w:val="32"/>
        </w:rPr>
      </w:pPr>
      <w:r>
        <w:rPr>
          <w:rFonts w:ascii="Times New Roman" w:eastAsia="黑体"/>
          <w:b w:val="0"/>
          <w:sz w:val="32"/>
          <w:szCs w:val="32"/>
        </w:rPr>
        <w:t>二、机构设置</w:t>
      </w:r>
    </w:p>
    <w:p>
      <w:pPr>
        <w:widowControl/>
        <w:spacing w:before="0" w:beforeLines="0" w:beforeAutospacing="0" w:after="0" w:afterLines="0" w:afterAutospacing="0" w:line="360" w:lineRule="auto"/>
        <w:ind w:firstLine="200" w:firstLineChars="200"/>
        <w:jc w:val="left"/>
        <w:rPr>
          <w:rFonts w:ascii="Times New Roman" w:eastAsia="仿宋_GB2312"/>
          <w:b w:val="0"/>
          <w:sz w:val="32"/>
          <w:szCs w:val="32"/>
        </w:rPr>
      </w:pPr>
      <w:r>
        <w:rPr>
          <w:rFonts w:ascii="Times New Roman" w:eastAsia="仿宋_GB2312"/>
          <w:b w:val="0"/>
          <w:sz w:val="32"/>
          <w:szCs w:val="32"/>
        </w:rPr>
        <w:t>从决算编报</w:t>
      </w:r>
      <w:r>
        <w:rPr>
          <w:rFonts w:hint="eastAsia" w:ascii="Times New Roman" w:eastAsia="仿宋_GB2312"/>
          <w:b w:val="0"/>
          <w:sz w:val="32"/>
          <w:szCs w:val="32"/>
          <w:lang w:eastAsia="zh-CN"/>
        </w:rPr>
        <w:t>部门</w:t>
      </w:r>
      <w:r>
        <w:rPr>
          <w:rFonts w:ascii="Times New Roman" w:eastAsia="仿宋_GB2312"/>
          <w:b w:val="0"/>
          <w:sz w:val="32"/>
          <w:szCs w:val="32"/>
        </w:rPr>
        <w:t>构成看，纳入2024年度本部门决算汇编范围的独立核算</w:t>
      </w:r>
      <w:r>
        <w:rPr>
          <w:rFonts w:hint="eastAsia" w:ascii="Times New Roman" w:eastAsia="仿宋_GB2312"/>
          <w:b w:val="0"/>
          <w:sz w:val="32"/>
          <w:szCs w:val="32"/>
          <w:lang w:eastAsia="zh-CN"/>
        </w:rPr>
        <w:t>部门</w:t>
      </w:r>
      <w:r>
        <w:rPr>
          <w:rFonts w:ascii="Times New Roman" w:eastAsia="仿宋_GB2312"/>
          <w:b w:val="0"/>
          <w:sz w:val="32"/>
          <w:szCs w:val="32"/>
        </w:rPr>
        <w:t>（以下简称“</w:t>
      </w:r>
      <w:r>
        <w:rPr>
          <w:rFonts w:hint="eastAsia" w:ascii="Times New Roman" w:eastAsia="仿宋_GB2312"/>
          <w:b w:val="0"/>
          <w:sz w:val="32"/>
          <w:szCs w:val="32"/>
          <w:lang w:eastAsia="zh-CN"/>
        </w:rPr>
        <w:t>部门</w:t>
      </w:r>
      <w:r>
        <w:rPr>
          <w:rFonts w:ascii="Times New Roman" w:eastAsia="仿宋_GB2312"/>
          <w:b w:val="0"/>
          <w:sz w:val="32"/>
          <w:szCs w:val="32"/>
        </w:rPr>
        <w:t>”）共个，具体情况如下：</w:t>
      </w:r>
    </w:p>
    <w:tbl>
      <w:tblPr>
        <w:tblStyle w:val="16"/>
        <w:tblpPr w:leftFromText="180" w:rightFromText="180" w:vertAnchor="text" w:horzAnchor="page" w:tblpX="1210" w:tblpY="206"/>
        <w:tblOverlap w:val="never"/>
        <w:tblW w:w="95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3485"/>
        <w:gridCol w:w="2445"/>
        <w:gridCol w:w="2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1" w:hRule="atLeast"/>
          <w:jc w:val="center"/>
        </w:trPr>
        <w:tc>
          <w:tcPr>
            <w:tcW w:w="985" w:type="dxa"/>
            <w:vAlign w:val="center"/>
          </w:tcPr>
          <w:p>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序号</w:t>
            </w:r>
          </w:p>
        </w:tc>
        <w:tc>
          <w:tcPr>
            <w:tcW w:w="3485" w:type="dxa"/>
            <w:vAlign w:val="center"/>
          </w:tcPr>
          <w:p>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lang w:eastAsia="zh-CN"/>
              </w:rPr>
              <w:t>部门</w:t>
            </w:r>
            <w:r>
              <w:rPr>
                <w:rFonts w:hint="eastAsia" w:ascii="仿宋_GB2312" w:hAnsi="Calibri" w:eastAsia="仿宋_GB2312" w:cs="ArialUnicodeMS"/>
                <w:b/>
                <w:bCs/>
                <w:kern w:val="0"/>
                <w:sz w:val="28"/>
                <w:szCs w:val="28"/>
              </w:rPr>
              <w:t>名称</w:t>
            </w:r>
          </w:p>
        </w:tc>
        <w:tc>
          <w:tcPr>
            <w:tcW w:w="2445" w:type="dxa"/>
            <w:vAlign w:val="center"/>
          </w:tcPr>
          <w:p>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lang w:eastAsia="zh-CN"/>
              </w:rPr>
              <w:t>部门</w:t>
            </w:r>
            <w:r>
              <w:rPr>
                <w:rFonts w:hint="eastAsia" w:ascii="仿宋_GB2312" w:hAnsi="Calibri" w:eastAsia="仿宋_GB2312" w:cs="ArialUnicodeMS"/>
                <w:b/>
                <w:bCs/>
                <w:kern w:val="0"/>
                <w:sz w:val="28"/>
                <w:szCs w:val="28"/>
              </w:rPr>
              <w:t>基本性质</w:t>
            </w:r>
          </w:p>
        </w:tc>
        <w:tc>
          <w:tcPr>
            <w:tcW w:w="2665" w:type="dxa"/>
            <w:vAlign w:val="center"/>
          </w:tcPr>
          <w:p>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经费形式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lang w:val="en-US" w:eastAsia="zh-CN"/>
              </w:rPr>
              <w:t>1</w:t>
            </w:r>
          </w:p>
        </w:tc>
        <w:tc>
          <w:tcPr>
            <w:tcW w:w="3485" w:type="dxa"/>
          </w:tcPr>
          <w:p>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lang w:val="en-US" w:eastAsia="zh-CN"/>
              </w:rPr>
              <w:t>石家庄市审计局</w:t>
            </w:r>
          </w:p>
        </w:tc>
        <w:tc>
          <w:tcPr>
            <w:tcW w:w="2445" w:type="dxa"/>
          </w:tcPr>
          <w:p>
            <w:pPr>
              <w:spacing w:line="560" w:lineRule="exact"/>
              <w:jc w:val="center"/>
              <w:rPr>
                <w:rFonts w:ascii="仿宋_GB2312" w:hAnsi="Calibri" w:eastAsia="仿宋_GB2312" w:cs="ArialUnicodeMS"/>
                <w:kern w:val="0"/>
                <w:sz w:val="28"/>
                <w:szCs w:val="28"/>
              </w:rPr>
            </w:pPr>
            <w:r>
              <w:rPr>
                <w:rFonts w:ascii="仿宋_GB2312" w:hAnsi="Calibri" w:eastAsia="仿宋_GB2312" w:cs="ArialUnicodeMS"/>
                <w:kern w:val="0"/>
                <w:sz w:val="28"/>
                <w:szCs w:val="28"/>
              </w:rPr>
              <w:t>行政</w:t>
            </w:r>
            <w:r>
              <w:rPr>
                <w:rFonts w:hint="eastAsia" w:ascii="仿宋_GB2312" w:hAnsi="Calibri" w:eastAsia="仿宋_GB2312" w:cs="ArialUnicodeMS"/>
                <w:kern w:val="0"/>
                <w:sz w:val="28"/>
                <w:szCs w:val="28"/>
                <w:lang w:eastAsia="zh-CN"/>
              </w:rPr>
              <w:t>部门</w:t>
            </w:r>
          </w:p>
        </w:tc>
        <w:tc>
          <w:tcPr>
            <w:tcW w:w="2665" w:type="dxa"/>
          </w:tcPr>
          <w:p>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lang w:val="en-US" w:eastAsia="zh-CN"/>
              </w:rPr>
              <w:t>财政拨款</w:t>
            </w:r>
          </w:p>
        </w:tc>
      </w:tr>
    </w:tbl>
    <w:p>
      <w:pPr>
        <w:widowControl/>
        <w:spacing w:before="0" w:beforeLines="0" w:beforeAutospacing="0" w:after="0" w:afterLines="0" w:afterAutospacing="0" w:line="360" w:lineRule="auto"/>
        <w:ind w:firstLine="200" w:firstLineChars="200"/>
        <w:jc w:val="left"/>
        <w:rPr>
          <w:rFonts w:hint="eastAsia" w:ascii="Times New Roman" w:eastAsia="仿宋_GB2312"/>
          <w:b w:val="0"/>
          <w:sz w:val="32"/>
          <w:szCs w:val="32"/>
          <w:lang w:eastAsia="zh-CN"/>
        </w:rPr>
      </w:pPr>
      <w:r>
        <w:rPr>
          <w:rFonts w:hint="eastAsia" w:ascii="Times New Roman" w:eastAsia="仿宋_GB2312"/>
          <w:b w:val="0"/>
          <w:sz w:val="32"/>
          <w:szCs w:val="32"/>
          <w:lang w:eastAsia="zh-CN"/>
        </w:rPr>
        <w:t>注：我部门无独立核算二级预算部门，因此石家庄市审计局</w:t>
      </w:r>
      <w:r>
        <w:rPr>
          <w:rFonts w:hint="eastAsia" w:ascii="Times New Roman" w:eastAsia="仿宋_GB2312"/>
          <w:b w:val="0"/>
          <w:sz w:val="32"/>
          <w:szCs w:val="32"/>
          <w:lang w:val="en-US" w:eastAsia="zh-CN"/>
        </w:rPr>
        <w:t>2024年度部门决算即石家庄市审计局（本级）2024年度决算。</w:t>
      </w:r>
    </w:p>
    <w:p>
      <w:pPr>
        <w:rPr>
          <w:rFonts w:hint="eastAsia" w:ascii="Times New Roman" w:hAnsi="Times New Roman" w:eastAsia="黑体" w:cs="Times New Roman"/>
          <w:sz w:val="32"/>
          <w:szCs w:val="32"/>
          <w:highlight w:val="yellow"/>
        </w:rPr>
      </w:pPr>
      <w:r>
        <w:rPr>
          <w:rFonts w:hint="eastAsia" w:ascii="Times New Roman" w:hAnsi="Times New Roman" w:eastAsia="黑体" w:cs="Times New Roman"/>
          <w:sz w:val="32"/>
          <w:szCs w:val="32"/>
          <w:highlight w:val="yellow"/>
        </w:rPr>
        <w:br w:type="page"/>
      </w:r>
    </w:p>
    <w:p>
      <w:pPr>
        <w:widowControl/>
        <w:spacing w:before="0" w:beforeLines="0" w:beforeAutospacing="0" w:after="0" w:afterLines="0" w:afterAutospacing="0" w:line="360" w:lineRule="auto"/>
        <w:jc w:val="center"/>
        <w:outlineLvl w:val="0"/>
        <w:rPr>
          <w:rFonts w:ascii="Times New Roman" w:eastAsia="黑体"/>
          <w:sz w:val="44"/>
          <w:szCs w:val="44"/>
        </w:rPr>
      </w:pPr>
      <w:r>
        <w:rPr>
          <w:rFonts w:ascii="Times New Roman" w:eastAsia="黑体"/>
          <w:b w:val="0"/>
          <w:sz w:val="44"/>
          <w:szCs w:val="44"/>
        </w:rPr>
        <w:t>第二部分</w:t>
      </w:r>
      <w:r>
        <w:rPr>
          <w:rFonts w:ascii="Times New Roman" w:eastAsia="仿宋_GB2312"/>
          <w:b w:val="0"/>
          <w:sz w:val="44"/>
          <w:szCs w:val="44"/>
        </w:rPr>
        <w:t>2024</w:t>
      </w:r>
      <w:r>
        <w:rPr>
          <w:rFonts w:ascii="Times New Roman" w:eastAsia="黑体"/>
          <w:b w:val="0"/>
          <w:sz w:val="44"/>
          <w:szCs w:val="44"/>
        </w:rPr>
        <w:t>年度部门决算表</w:t>
      </w:r>
    </w:p>
    <w:tbl>
      <w:tblPr>
        <w:tblStyle w:val="16"/>
        <w:tblpPr w:leftFromText="180" w:rightFromText="180" w:vertAnchor="text" w:horzAnchor="page" w:tblpX="382" w:tblpY="813"/>
        <w:tblOverlap w:val="never"/>
        <w:tblW w:w="1165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46"/>
        <w:gridCol w:w="624"/>
        <w:gridCol w:w="611"/>
        <w:gridCol w:w="1317"/>
        <w:gridCol w:w="1628"/>
        <w:gridCol w:w="1547"/>
        <w:gridCol w:w="624"/>
        <w:gridCol w:w="1928"/>
        <w:gridCol w:w="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361" w:hRule="atLeast"/>
        </w:trPr>
        <w:tc>
          <w:tcPr>
            <w:tcW w:w="11625" w:type="dxa"/>
            <w:gridSpan w:val="8"/>
            <w:tcBorders>
              <w:top w:val="nil"/>
              <w:left w:val="nil"/>
              <w:bottom w:val="nil"/>
              <w:right w:val="nil"/>
            </w:tcBorders>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357" w:hRule="atLeast"/>
        </w:trPr>
        <w:tc>
          <w:tcPr>
            <w:tcW w:w="11625" w:type="dxa"/>
            <w:gridSpan w:val="8"/>
            <w:tcBorders>
              <w:top w:val="nil"/>
              <w:left w:val="nil"/>
              <w:bottom w:val="nil"/>
              <w:right w:val="nil"/>
            </w:tcBorders>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 公开</w:t>
            </w:r>
            <w:r>
              <w:rPr>
                <w:rFonts w:hint="eastAsia" w:ascii="Times New Roman" w:hAnsi="Times New Roman" w:eastAsia="宋体" w:cs="Times New Roman"/>
                <w:i w:val="0"/>
                <w:iCs w:val="0"/>
                <w:color w:val="000000"/>
                <w:sz w:val="20"/>
                <w:szCs w:val="20"/>
                <w:highlight w:val="none"/>
                <w:u w:val="none"/>
                <w:lang w:val="en-US" w:eastAsia="zh-CN"/>
              </w:rPr>
              <w:t>01</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351" w:hRule="atLeast"/>
        </w:trPr>
        <w:tc>
          <w:tcPr>
            <w:tcW w:w="4581" w:type="dxa"/>
            <w:gridSpan w:val="3"/>
            <w:tcBorders>
              <w:top w:val="nil"/>
              <w:left w:val="nil"/>
              <w:bottom w:val="single" w:color="auto" w:sz="4" w:space="0"/>
              <w:right w:val="nil"/>
            </w:tcBorders>
            <w:vAlign w:val="bottom"/>
          </w:tcPr>
          <w:p>
            <w:pPr>
              <w:jc w:val="both"/>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部门：石家庄市审计局</w:t>
            </w:r>
          </w:p>
        </w:tc>
        <w:tc>
          <w:tcPr>
            <w:tcW w:w="2945" w:type="dxa"/>
            <w:gridSpan w:val="2"/>
            <w:tcBorders>
              <w:top w:val="nil"/>
              <w:left w:val="nil"/>
              <w:bottom w:val="single" w:color="auto" w:sz="4" w:space="0"/>
              <w:right w:val="nil"/>
            </w:tcBorders>
            <w:vAlign w:val="bottom"/>
          </w:tcPr>
          <w:p>
            <w:pPr>
              <w:jc w:val="center"/>
              <w:rPr>
                <w:rFonts w:hint="default" w:ascii="宋体" w:hAnsi="宋体" w:eastAsia="宋体" w:cs="宋体"/>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sz w:val="20"/>
                <w:szCs w:val="20"/>
                <w:highlight w:val="none"/>
                <w:u w:val="none"/>
                <w:lang w:val="en-US" w:eastAsia="zh-CN"/>
              </w:rPr>
              <w:t>2024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4099" w:type="dxa"/>
            <w:gridSpan w:val="3"/>
            <w:tcBorders>
              <w:top w:val="nil"/>
              <w:left w:val="nil"/>
              <w:bottom w:val="single" w:color="auto" w:sz="4" w:space="0"/>
              <w:right w:val="nil"/>
            </w:tcBorders>
            <w:vAlign w:val="bottom"/>
          </w:tcPr>
          <w:p>
            <w:pPr>
              <w:jc w:val="right"/>
              <w:rPr>
                <w:rFonts w:hint="default" w:ascii="宋体" w:hAnsi="宋体" w:eastAsia="宋体" w:cs="宋体"/>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金额部门：万元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544" w:hRule="atLeast"/>
        </w:trPr>
        <w:tc>
          <w:tcPr>
            <w:tcW w:w="5898" w:type="dxa"/>
            <w:gridSpan w:val="4"/>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收入</w:t>
            </w:r>
          </w:p>
        </w:tc>
        <w:tc>
          <w:tcPr>
            <w:tcW w:w="5727" w:type="dxa"/>
            <w:gridSpan w:val="4"/>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308"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行次</w:t>
            </w:r>
          </w:p>
        </w:tc>
        <w:tc>
          <w:tcPr>
            <w:tcW w:w="192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决算数</w:t>
            </w: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行次</w:t>
            </w:r>
          </w:p>
        </w:tc>
        <w:tc>
          <w:tcPr>
            <w:tcW w:w="1928"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624" w:type="dxa"/>
            <w:tcBorders>
              <w:top w:val="nil"/>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92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Times New Roman" w:hAnsi="Times New Roman" w:eastAsia="宋体" w:cs="Times New Roman"/>
                <w:i w:val="0"/>
                <w:iCs w:val="0"/>
                <w:color w:val="000000"/>
                <w:sz w:val="20"/>
                <w:szCs w:val="20"/>
                <w:highlight w:val="none"/>
                <w:u w:val="none"/>
                <w:lang w:val="en-US" w:eastAsia="zh-CN"/>
              </w:rPr>
              <w:t>1</w:t>
            </w: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624" w:type="dxa"/>
            <w:tcBorders>
              <w:top w:val="nil"/>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928"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Times New Roman" w:hAnsi="Times New Roman" w:eastAsia="宋体" w:cs="Times New Roman"/>
                <w:i w:val="0"/>
                <w:iCs w:val="0"/>
                <w:color w:val="000000"/>
                <w:sz w:val="20"/>
                <w:szCs w:val="20"/>
                <w:highlight w:val="none"/>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一、一般公共预算财政拨款收入</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宋体" w:hAnsi="宋体" w:eastAsia="宋体" w:cs="宋体"/>
                <w:i w:val="0"/>
                <w:iCs w:val="0"/>
                <w:color w:val="000000"/>
                <w:sz w:val="20"/>
                <w:szCs w:val="20"/>
                <w:highlight w:val="none"/>
                <w:u w:val="none"/>
                <w:lang w:val="en-US" w:eastAsia="zh-CN"/>
              </w:rPr>
              <w:t>1</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4,842.33</w:t>
            </w: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一、一般公共服务支出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32</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3,559.66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二、政府性基金预算财政拨款收入</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二、外交支出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33</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三、国有资本经营预算财政拨款收入</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三、国防支出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34</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四、上级补助收入</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四、公共安全支出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35</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五、事业收入</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五、教育支出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36</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六、经营收入</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六、科学技术支出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37</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七、附属部门上缴收入</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7</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七、文化旅游体育与传媒支出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38</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八、其他收入</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8</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39.00</w:t>
            </w: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八、社会保障和就业支出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39</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823.49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9</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九、卫生健康支出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eastAsia="zh-CN"/>
              </w:rPr>
            </w:pPr>
            <w:r>
              <w:rPr>
                <w:rFonts w:hint="default" w:ascii="Times New Roman" w:hAnsi="Times New Roman" w:eastAsia="宋体" w:cs="Times New Roman"/>
                <w:i w:val="0"/>
                <w:iCs w:val="0"/>
                <w:color w:val="000000"/>
                <w:sz w:val="20"/>
                <w:szCs w:val="20"/>
                <w:highlight w:val="none"/>
                <w:u w:val="none"/>
                <w:lang w:val="en-US" w:eastAsia="zh-CN"/>
              </w:rPr>
              <w:t>40</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187.72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10</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十、节能环保支出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41</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11</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十一、城乡社区支出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42</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12</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十二、农林水支出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43</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13</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十三、交通运输支出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44</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auto"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auto"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14</w:t>
            </w:r>
          </w:p>
        </w:tc>
        <w:tc>
          <w:tcPr>
            <w:tcW w:w="1928" w:type="dxa"/>
            <w:gridSpan w:val="2"/>
            <w:tcBorders>
              <w:top w:val="nil"/>
              <w:left w:val="nil"/>
              <w:bottom w:val="single" w:color="auto"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auto"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十四、资源勘探工业信息等支出</w:t>
            </w:r>
          </w:p>
        </w:tc>
        <w:tc>
          <w:tcPr>
            <w:tcW w:w="624" w:type="dxa"/>
            <w:tcBorders>
              <w:top w:val="nil"/>
              <w:left w:val="nil"/>
              <w:bottom w:val="single" w:color="auto"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45</w:t>
            </w:r>
          </w:p>
        </w:tc>
        <w:tc>
          <w:tcPr>
            <w:tcW w:w="1928" w:type="dxa"/>
            <w:tcBorders>
              <w:top w:val="nil"/>
              <w:left w:val="nil"/>
              <w:bottom w:val="single" w:color="auto"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15</w:t>
            </w:r>
          </w:p>
        </w:tc>
        <w:tc>
          <w:tcPr>
            <w:tcW w:w="1928"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十五、商业服务业等支出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46</w:t>
            </w:r>
          </w:p>
        </w:tc>
        <w:tc>
          <w:tcPr>
            <w:tcW w:w="192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16</w:t>
            </w:r>
          </w:p>
        </w:tc>
        <w:tc>
          <w:tcPr>
            <w:tcW w:w="1928"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十六、金融支出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47</w:t>
            </w:r>
          </w:p>
        </w:tc>
        <w:tc>
          <w:tcPr>
            <w:tcW w:w="192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17</w:t>
            </w:r>
          </w:p>
        </w:tc>
        <w:tc>
          <w:tcPr>
            <w:tcW w:w="1928"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十七、援助其他地区支出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48</w:t>
            </w:r>
          </w:p>
        </w:tc>
        <w:tc>
          <w:tcPr>
            <w:tcW w:w="192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18</w:t>
            </w:r>
          </w:p>
        </w:tc>
        <w:tc>
          <w:tcPr>
            <w:tcW w:w="1928"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十八、自然资源海洋气象等支出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49</w:t>
            </w:r>
          </w:p>
        </w:tc>
        <w:tc>
          <w:tcPr>
            <w:tcW w:w="192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19</w:t>
            </w:r>
          </w:p>
        </w:tc>
        <w:tc>
          <w:tcPr>
            <w:tcW w:w="1928"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十九、住房保障支出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eastAsia="zh-CN"/>
              </w:rPr>
            </w:pPr>
            <w:r>
              <w:rPr>
                <w:rFonts w:hint="default" w:ascii="Times New Roman" w:hAnsi="Times New Roman" w:eastAsia="宋体" w:cs="Times New Roman"/>
                <w:i w:val="0"/>
                <w:iCs w:val="0"/>
                <w:color w:val="000000"/>
                <w:sz w:val="20"/>
                <w:szCs w:val="20"/>
                <w:highlight w:val="none"/>
                <w:u w:val="none"/>
                <w:lang w:val="en-US" w:eastAsia="zh-CN"/>
              </w:rPr>
              <w:t>50</w:t>
            </w:r>
          </w:p>
        </w:tc>
        <w:tc>
          <w:tcPr>
            <w:tcW w:w="192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362.45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20</w:t>
            </w:r>
          </w:p>
        </w:tc>
        <w:tc>
          <w:tcPr>
            <w:tcW w:w="1928"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二十、粮油物资储备支出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51</w:t>
            </w:r>
          </w:p>
        </w:tc>
        <w:tc>
          <w:tcPr>
            <w:tcW w:w="192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single" w:color="auto"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21</w:t>
            </w:r>
          </w:p>
        </w:tc>
        <w:tc>
          <w:tcPr>
            <w:tcW w:w="1928" w:type="dxa"/>
            <w:gridSpan w:val="2"/>
            <w:tcBorders>
              <w:top w:val="single" w:color="auto" w:sz="4" w:space="0"/>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二十一、国有资本经营预算支出</w:t>
            </w:r>
          </w:p>
        </w:tc>
        <w:tc>
          <w:tcPr>
            <w:tcW w:w="624" w:type="dxa"/>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52</w:t>
            </w:r>
          </w:p>
        </w:tc>
        <w:tc>
          <w:tcPr>
            <w:tcW w:w="1928" w:type="dxa"/>
            <w:tcBorders>
              <w:top w:val="single" w:color="auto" w:sz="4" w:space="0"/>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22</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二十二、灾害防治及应急管理支出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53</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23</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二十三、其他支出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54</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24</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二十四、债务还本支出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55</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25</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二十五、债务付息支出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56</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26</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二十六、抗疫特别国债安排的支出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57</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本年收入合计</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27</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4,881.33</w:t>
            </w: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本年支出合计</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58</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4,933.32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使用非财政拨款结余（含专用结余）</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28</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结余分配</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59</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年初结转和结余</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29</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222.31</w:t>
            </w: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年末结转和结余</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eastAsia="zh-CN"/>
              </w:rPr>
            </w:pPr>
            <w:r>
              <w:rPr>
                <w:rFonts w:hint="default" w:ascii="Times New Roman" w:hAnsi="Times New Roman" w:eastAsia="宋体" w:cs="Times New Roman"/>
                <w:i w:val="0"/>
                <w:iCs w:val="0"/>
                <w:color w:val="000000"/>
                <w:sz w:val="20"/>
                <w:szCs w:val="20"/>
                <w:highlight w:val="none"/>
                <w:u w:val="none"/>
                <w:lang w:val="en-US" w:eastAsia="zh-CN"/>
              </w:rPr>
              <w:t>60</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170.32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30</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61</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308"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总计</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31</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5,103.64</w:t>
            </w: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总计</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62</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5,103.64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1659" w:type="dxa"/>
            <w:gridSpan w:val="9"/>
            <w:tcBorders>
              <w:top w:val="nil"/>
              <w:left w:val="nil"/>
              <w:bottom w:val="nil"/>
              <w:right w:val="nil"/>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注：1.本表反映部门本年度的总收支和年末结转结余情况。</w:t>
            </w:r>
          </w:p>
          <w:p>
            <w:pPr>
              <w:keepNext w:val="0"/>
              <w:keepLines w:val="0"/>
              <w:widowControl/>
              <w:suppressLineNumbers w:val="0"/>
              <w:ind w:firstLine="400" w:firstLineChars="200"/>
              <w:jc w:val="left"/>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2.本套报表金额转换时可能存在尾数误差。</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6"/>
        <w:tblW w:w="923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40"/>
        <w:gridCol w:w="1160"/>
        <w:gridCol w:w="1037"/>
        <w:gridCol w:w="1037"/>
        <w:gridCol w:w="1037"/>
        <w:gridCol w:w="964"/>
        <w:gridCol w:w="367"/>
        <w:gridCol w:w="597"/>
        <w:gridCol w:w="1027"/>
        <w:gridCol w:w="9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0" w:hRule="atLeast"/>
          <w:jc w:val="center"/>
        </w:trPr>
        <w:tc>
          <w:tcPr>
            <w:tcW w:w="9230" w:type="dxa"/>
            <w:gridSpan w:val="10"/>
            <w:tcBorders>
              <w:top w:val="nil"/>
              <w:left w:val="nil"/>
              <w:bottom w:val="nil"/>
              <w:right w:val="nil"/>
            </w:tcBorders>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收入决算表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jc w:val="center"/>
        </w:trPr>
        <w:tc>
          <w:tcPr>
            <w:tcW w:w="9230" w:type="dxa"/>
            <w:gridSpan w:val="10"/>
            <w:tcBorders>
              <w:top w:val="nil"/>
              <w:left w:val="nil"/>
              <w:bottom w:val="nil"/>
              <w:right w:val="nil"/>
            </w:tcBorders>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w:t>
            </w:r>
            <w:r>
              <w:rPr>
                <w:rFonts w:hint="eastAsia" w:ascii="Times New Roman" w:hAnsi="Times New Roman" w:eastAsia="宋体" w:cs="Times New Roman"/>
                <w:i w:val="0"/>
                <w:iCs w:val="0"/>
                <w:color w:val="000000"/>
                <w:sz w:val="20"/>
                <w:szCs w:val="20"/>
                <w:highlight w:val="none"/>
                <w:u w:val="none"/>
                <w:lang w:val="en-US" w:eastAsia="zh-CN"/>
              </w:rPr>
              <w:t>02</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jc w:val="center"/>
        </w:trPr>
        <w:tc>
          <w:tcPr>
            <w:tcW w:w="3237" w:type="dxa"/>
            <w:gridSpan w:val="3"/>
            <w:tcBorders>
              <w:top w:val="nil"/>
              <w:left w:val="nil"/>
              <w:bottom w:val="single" w:color="auto" w:sz="4" w:space="0"/>
              <w:right w:val="nil"/>
            </w:tcBorders>
            <w:vAlign w:val="bottom"/>
          </w:tcPr>
          <w:p>
            <w:pP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部门：石家庄市审计局                                                                                                       </w:t>
            </w:r>
          </w:p>
        </w:tc>
        <w:tc>
          <w:tcPr>
            <w:tcW w:w="3405" w:type="dxa"/>
            <w:gridSpan w:val="4"/>
            <w:tcBorders>
              <w:top w:val="nil"/>
              <w:left w:val="nil"/>
              <w:bottom w:val="single" w:color="auto" w:sz="4" w:space="0"/>
              <w:right w:val="nil"/>
            </w:tcBorders>
            <w:vAlign w:val="bottom"/>
          </w:tcPr>
          <w:p>
            <w:pPr>
              <w:jc w:val="cente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default" w:ascii="Times New Roman" w:hAnsi="Times New Roman" w:eastAsia="方正仿宋_GB2312" w:cs="Times New Roman"/>
                <w:i w:val="0"/>
                <w:iCs w:val="0"/>
                <w:color w:val="000000"/>
                <w:sz w:val="20"/>
                <w:szCs w:val="20"/>
                <w:highlight w:val="none"/>
                <w:u w:val="none"/>
                <w:lang w:val="en-US" w:eastAsia="zh-CN"/>
              </w:rPr>
              <w:t>202</w:t>
            </w:r>
            <w:r>
              <w:rPr>
                <w:rFonts w:hint="eastAsia" w:ascii="Times New Roman" w:hAnsi="Times New Roman" w:eastAsia="方正仿宋_GB2312" w:cs="Times New Roman"/>
                <w:i w:val="0"/>
                <w:iCs w:val="0"/>
                <w:color w:val="000000"/>
                <w:sz w:val="20"/>
                <w:szCs w:val="20"/>
                <w:highlight w:val="none"/>
                <w:u w:val="none"/>
                <w:lang w:val="en-US" w:eastAsia="zh-CN"/>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2588" w:type="dxa"/>
            <w:gridSpan w:val="3"/>
            <w:tcBorders>
              <w:top w:val="nil"/>
              <w:left w:val="nil"/>
              <w:bottom w:val="single" w:color="auto" w:sz="4" w:space="0"/>
              <w:right w:val="nil"/>
            </w:tcBorders>
            <w:vAlign w:val="bottom"/>
          </w:tcPr>
          <w:p>
            <w:pPr>
              <w:jc w:val="right"/>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金额部门：万元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2200" w:type="dxa"/>
            <w:gridSpan w:val="2"/>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1037" w:type="dxa"/>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本年收入合计</w:t>
            </w:r>
          </w:p>
        </w:tc>
        <w:tc>
          <w:tcPr>
            <w:tcW w:w="1037" w:type="dxa"/>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财政拨款收入</w:t>
            </w:r>
          </w:p>
        </w:tc>
        <w:tc>
          <w:tcPr>
            <w:tcW w:w="1037" w:type="dxa"/>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上级补助收入</w:t>
            </w:r>
          </w:p>
        </w:tc>
        <w:tc>
          <w:tcPr>
            <w:tcW w:w="964" w:type="dxa"/>
            <w:vMerge w:val="restart"/>
            <w:tcBorders>
              <w:top w:val="single" w:color="auto" w:sz="4" w:space="0"/>
              <w:left w:val="nil"/>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事业收入</w:t>
            </w:r>
          </w:p>
        </w:tc>
        <w:tc>
          <w:tcPr>
            <w:tcW w:w="964" w:type="dxa"/>
            <w:gridSpan w:val="2"/>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经营收入</w:t>
            </w:r>
          </w:p>
        </w:tc>
        <w:tc>
          <w:tcPr>
            <w:tcW w:w="1027" w:type="dxa"/>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附属部门上缴收入</w:t>
            </w:r>
          </w:p>
        </w:tc>
        <w:tc>
          <w:tcPr>
            <w:tcW w:w="964" w:type="dxa"/>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jc w:val="center"/>
        </w:trPr>
        <w:tc>
          <w:tcPr>
            <w:tcW w:w="1040" w:type="dxa"/>
            <w:vMerge w:val="restart"/>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科目代码</w:t>
            </w:r>
          </w:p>
        </w:tc>
        <w:tc>
          <w:tcPr>
            <w:tcW w:w="1160" w:type="dxa"/>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科目名称</w:t>
            </w:r>
          </w:p>
        </w:tc>
        <w:tc>
          <w:tcPr>
            <w:tcW w:w="103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964" w:type="dxa"/>
            <w:vMerge w:val="continue"/>
            <w:tcBorders>
              <w:left w:val="nil"/>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964" w:type="dxa"/>
            <w:gridSpan w:val="2"/>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02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964"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jc w:val="center"/>
        </w:trPr>
        <w:tc>
          <w:tcPr>
            <w:tcW w:w="1040" w:type="dxa"/>
            <w:vMerge w:val="continue"/>
            <w:tcBorders>
              <w:top w:val="nil"/>
              <w:left w:val="single" w:color="000000" w:sz="4" w:space="0"/>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60"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964" w:type="dxa"/>
            <w:vMerge w:val="continue"/>
            <w:tcBorders>
              <w:left w:val="nil"/>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964" w:type="dxa"/>
            <w:gridSpan w:val="2"/>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02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964"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jc w:val="center"/>
        </w:trPr>
        <w:tc>
          <w:tcPr>
            <w:tcW w:w="1040" w:type="dxa"/>
            <w:vMerge w:val="continue"/>
            <w:tcBorders>
              <w:top w:val="nil"/>
              <w:left w:val="single" w:color="000000" w:sz="4" w:space="0"/>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60"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964" w:type="dxa"/>
            <w:vMerge w:val="continue"/>
            <w:tcBorders>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964" w:type="dxa"/>
            <w:gridSpan w:val="2"/>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02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964"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220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1037"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1037"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037"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96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4</w:t>
            </w:r>
          </w:p>
        </w:tc>
        <w:tc>
          <w:tcPr>
            <w:tcW w:w="964"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1027"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96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220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合计</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rPr>
              <w:t>4,881.33</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rPr>
              <w:t>4,842.33</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rPr>
              <w:t>39.00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201</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一般公共服务支出</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3,507.67</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3,468.67</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20108</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审计事务</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3,507.67</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3,468.67</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2010801</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行政运行</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2,547.35</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2,547.35</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2010804</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审计业务</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660.50</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621.50</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2010805</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审计管理</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267.83</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267.83</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2010806</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信息化建设</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12.00</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12.00</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2010899</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其他审计事务支出</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20.00</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20.00</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208</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社会保障和就业支出</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823.49</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823.49</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20805</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行政事业部门养老支出</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823.49</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823.49</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2080501</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行政部门离退休</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487.06</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487.06</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2080505</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机关事业部门基本养老保险缴费支出</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336.43</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336.43</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210</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卫生健康支出</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187.72</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187.72</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21011</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行政事业部门医疗</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187.72</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187.72</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2101101</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行政部门医疗</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101.83</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101.83</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2101103</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公务员医疗补助</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85.89</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85.89</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221</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住房保障支出</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362.45</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362.45</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22102</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住房改革支出</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362.45</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362.45</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2210201</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住房公积金</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362.45</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362.45</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9230" w:type="dxa"/>
            <w:gridSpan w:val="10"/>
            <w:tcBorders>
              <w:top w:val="nil"/>
              <w:left w:val="nil"/>
              <w:bottom w:val="nil"/>
              <w:right w:val="nil"/>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注：本表反映部门本年度取得的各项收入情况。</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rPr>
          <w:rFonts w:hint="eastAsia" w:ascii="黑体" w:hAnsi="黑体" w:eastAsia="黑体" w:cs="宋体"/>
          <w:bCs/>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6"/>
        <w:tblW w:w="934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40"/>
        <w:gridCol w:w="1187"/>
        <w:gridCol w:w="1128"/>
        <w:gridCol w:w="126"/>
        <w:gridCol w:w="1000"/>
        <w:gridCol w:w="1126"/>
        <w:gridCol w:w="497"/>
        <w:gridCol w:w="629"/>
        <w:gridCol w:w="1126"/>
        <w:gridCol w:w="14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0" w:hRule="atLeast"/>
          <w:jc w:val="center"/>
        </w:trPr>
        <w:tc>
          <w:tcPr>
            <w:tcW w:w="9346" w:type="dxa"/>
            <w:gridSpan w:val="10"/>
            <w:tcBorders>
              <w:top w:val="nil"/>
              <w:left w:val="nil"/>
              <w:bottom w:val="nil"/>
              <w:right w:val="nil"/>
            </w:tcBorders>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1"/>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br w:type="page"/>
            </w:r>
            <w:r>
              <w:rPr>
                <w:rFonts w:hint="eastAsia" w:ascii="方正仿宋_GB2312" w:hAnsi="方正仿宋_GB2312" w:eastAsia="方正仿宋_GB2312" w:cs="方正仿宋_GB2312"/>
                <w:b w:val="0"/>
                <w:bCs/>
                <w:color w:val="auto"/>
                <w:kern w:val="0"/>
                <w:sz w:val="32"/>
                <w:szCs w:val="32"/>
                <w:highlight w:val="none"/>
                <w:lang w:val="en-US" w:eastAsia="zh-CN"/>
              </w:rPr>
              <w:t>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jc w:val="center"/>
        </w:trPr>
        <w:tc>
          <w:tcPr>
            <w:tcW w:w="9346" w:type="dxa"/>
            <w:gridSpan w:val="10"/>
            <w:tcBorders>
              <w:top w:val="nil"/>
              <w:left w:val="nil"/>
              <w:bottom w:val="nil"/>
              <w:right w:val="nil"/>
            </w:tcBorders>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w:t>
            </w:r>
            <w:r>
              <w:rPr>
                <w:rFonts w:hint="default" w:ascii="Times New Roman" w:hAnsi="Times New Roman" w:eastAsia="宋体" w:cs="Times New Roman"/>
                <w:i w:val="0"/>
                <w:iCs w:val="0"/>
                <w:color w:val="000000"/>
                <w:kern w:val="0"/>
                <w:sz w:val="20"/>
                <w:szCs w:val="20"/>
                <w:highlight w:val="none"/>
                <w:u w:val="none"/>
                <w:lang w:val="en-US" w:eastAsia="zh-CN" w:bidi="ar"/>
              </w:rPr>
              <w:t>03</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jc w:val="center"/>
        </w:trPr>
        <w:tc>
          <w:tcPr>
            <w:tcW w:w="3481" w:type="dxa"/>
            <w:gridSpan w:val="4"/>
            <w:tcBorders>
              <w:top w:val="nil"/>
              <w:left w:val="nil"/>
              <w:bottom w:val="single" w:color="auto" w:sz="4" w:space="0"/>
              <w:right w:val="nil"/>
            </w:tcBorders>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部门：石家庄市审计局</w:t>
            </w: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 xml:space="preserve">                                                                                                         </w:t>
            </w:r>
          </w:p>
        </w:tc>
        <w:tc>
          <w:tcPr>
            <w:tcW w:w="2623" w:type="dxa"/>
            <w:gridSpan w:val="3"/>
            <w:tcBorders>
              <w:top w:val="nil"/>
              <w:left w:val="nil"/>
              <w:bottom w:val="single" w:color="auto" w:sz="4" w:space="0"/>
              <w:right w:val="nil"/>
            </w:tcBorders>
            <w:vAlign w:val="bottom"/>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highlight w:val="none"/>
                <w:u w:val="none"/>
                <w:lang w:val="en-US" w:eastAsia="zh-CN" w:bidi="ar"/>
              </w:rPr>
            </w:pPr>
            <w:r>
              <w:rPr>
                <w:rFonts w:hint="default" w:ascii="Times New Roman" w:hAnsi="Times New Roman" w:cs="Times New Roman" w:eastAsiaTheme="minorEastAsia"/>
                <w:i w:val="0"/>
                <w:iCs w:val="0"/>
                <w:color w:val="000000"/>
                <w:kern w:val="0"/>
                <w:sz w:val="20"/>
                <w:szCs w:val="20"/>
                <w:highlight w:val="none"/>
                <w:u w:val="none"/>
                <w:lang w:val="en-US" w:eastAsia="zh-CN" w:bidi="ar"/>
              </w:rPr>
              <w:t>202</w:t>
            </w:r>
            <w:r>
              <w:rPr>
                <w:rFonts w:hint="eastAsia" w:ascii="Times New Roman" w:hAnsi="Times New Roman" w:cs="Times New Roman"/>
                <w:i w:val="0"/>
                <w:iCs w:val="0"/>
                <w:color w:val="000000"/>
                <w:kern w:val="0"/>
                <w:sz w:val="20"/>
                <w:szCs w:val="20"/>
                <w:highlight w:val="none"/>
                <w:u w:val="none"/>
                <w:lang w:val="en-US" w:eastAsia="zh-CN" w:bidi="ar"/>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3242" w:type="dxa"/>
            <w:gridSpan w:val="3"/>
            <w:tcBorders>
              <w:top w:val="nil"/>
              <w:left w:val="nil"/>
              <w:bottom w:val="single" w:color="auto" w:sz="4" w:space="0"/>
              <w:right w:val="nil"/>
            </w:tcBorders>
            <w:vAlign w:val="bottom"/>
          </w:tcPr>
          <w:p>
            <w:pPr>
              <w:keepNext w:val="0"/>
              <w:keepLines w:val="0"/>
              <w:widowControl/>
              <w:suppressLineNumbers w:val="0"/>
              <w:jc w:val="right"/>
              <w:textAlignment w:val="bottom"/>
              <w:rPr>
                <w:rFonts w:hint="eastAsia" w:asciiTheme="minorEastAsia" w:hAnsiTheme="minorEastAsia" w:eastAsiaTheme="minorEastAsia" w:cstheme="minorEastAsia"/>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 金额部门：万元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2227" w:type="dxa"/>
            <w:gridSpan w:val="2"/>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1128" w:type="dxa"/>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本年支出合计</w:t>
            </w:r>
          </w:p>
        </w:tc>
        <w:tc>
          <w:tcPr>
            <w:tcW w:w="1126" w:type="dxa"/>
            <w:gridSpan w:val="2"/>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基本支出</w:t>
            </w:r>
          </w:p>
        </w:tc>
        <w:tc>
          <w:tcPr>
            <w:tcW w:w="1126" w:type="dxa"/>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项目支出</w:t>
            </w:r>
          </w:p>
        </w:tc>
        <w:tc>
          <w:tcPr>
            <w:tcW w:w="1126" w:type="dxa"/>
            <w:gridSpan w:val="2"/>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上缴上级支出</w:t>
            </w:r>
          </w:p>
        </w:tc>
        <w:tc>
          <w:tcPr>
            <w:tcW w:w="1126" w:type="dxa"/>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经营支出</w:t>
            </w:r>
          </w:p>
        </w:tc>
        <w:tc>
          <w:tcPr>
            <w:tcW w:w="1487" w:type="dxa"/>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对附属部门补助支出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vMerge w:val="restart"/>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科目代码</w:t>
            </w:r>
          </w:p>
        </w:tc>
        <w:tc>
          <w:tcPr>
            <w:tcW w:w="1187" w:type="dxa"/>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科目名称</w:t>
            </w:r>
          </w:p>
        </w:tc>
        <w:tc>
          <w:tcPr>
            <w:tcW w:w="1128"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6" w:type="dxa"/>
            <w:gridSpan w:val="2"/>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6"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6" w:type="dxa"/>
            <w:gridSpan w:val="2"/>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6"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48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vMerge w:val="continue"/>
            <w:tcBorders>
              <w:top w:val="nil"/>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87" w:type="dxa"/>
            <w:vMerge w:val="continue"/>
            <w:tcBorders>
              <w:top w:val="nil"/>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8"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6" w:type="dxa"/>
            <w:gridSpan w:val="2"/>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6"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6" w:type="dxa"/>
            <w:gridSpan w:val="2"/>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6"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48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vMerge w:val="continue"/>
            <w:tcBorders>
              <w:top w:val="nil"/>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87" w:type="dxa"/>
            <w:vMerge w:val="continue"/>
            <w:tcBorders>
              <w:top w:val="nil"/>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8"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6" w:type="dxa"/>
            <w:gridSpan w:val="2"/>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6"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6" w:type="dxa"/>
            <w:gridSpan w:val="2"/>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6"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48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222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1128"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w:t>
            </w:r>
          </w:p>
        </w:tc>
        <w:tc>
          <w:tcPr>
            <w:tcW w:w="1126"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w:t>
            </w:r>
          </w:p>
        </w:tc>
        <w:tc>
          <w:tcPr>
            <w:tcW w:w="1126"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w:t>
            </w:r>
          </w:p>
        </w:tc>
        <w:tc>
          <w:tcPr>
            <w:tcW w:w="1126"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w:t>
            </w:r>
          </w:p>
        </w:tc>
        <w:tc>
          <w:tcPr>
            <w:tcW w:w="1126"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w:t>
            </w:r>
          </w:p>
        </w:tc>
        <w:tc>
          <w:tcPr>
            <w:tcW w:w="1487"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222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合计</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4,933.32</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3,896.62</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1,036.70</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一般公共服务支出</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3,559.66</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2,522.96</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1,036.70</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20108</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审计事务</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3,559.66</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2,522.96</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1,036.70</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2010801</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行政运行</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2,522.96</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2,522.96</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2010804</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审计业务</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736.87</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736.87</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2010805</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审计管理</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267.83</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267.83</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2010806</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信息化建设</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12.00</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12.00</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2010899</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其他审计事务支出</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20.00</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20.00</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社会保障和就业支出</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823.49</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823.49</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20805</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行政事业部门养老支出</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823.49</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823.49</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2080501</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行政部门离退休</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487.06</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487.06</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2080505</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机关事业部门基本养老保险缴费支出</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336.43</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336.43</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卫生健康支出</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187.72</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187.72</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21011</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行政事业部门医疗</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187.72</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187.72</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2101101</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行政部门医疗</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101.83</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101.83</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2101103</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公务员医疗补助</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85.89</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85.89</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221</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住房保障支出</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362.45</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362.45</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22102</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住房改革支出</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362.45</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362.45</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2210201</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住房公积金</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362.45</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362.45</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9346" w:type="dxa"/>
            <w:gridSpan w:val="10"/>
            <w:tcBorders>
              <w:top w:val="nil"/>
              <w:left w:val="nil"/>
              <w:bottom w:val="nil"/>
              <w:right w:val="nil"/>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注：本表反映部门本年度各项支出情况。</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6"/>
        <w:tblW w:w="11546" w:type="dxa"/>
        <w:tblInd w:w="-18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984"/>
        <w:gridCol w:w="624"/>
        <w:gridCol w:w="1427"/>
        <w:gridCol w:w="1659"/>
        <w:gridCol w:w="439"/>
        <w:gridCol w:w="624"/>
        <w:gridCol w:w="458"/>
        <w:gridCol w:w="837"/>
        <w:gridCol w:w="1219"/>
        <w:gridCol w:w="1219"/>
        <w:gridCol w:w="10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0" w:hRule="atLeast"/>
        </w:trPr>
        <w:tc>
          <w:tcPr>
            <w:tcW w:w="11546" w:type="dxa"/>
            <w:gridSpan w:val="11"/>
            <w:tcBorders>
              <w:top w:val="nil"/>
              <w:left w:val="nil"/>
              <w:bottom w:val="nil"/>
              <w:right w:val="nil"/>
            </w:tcBorders>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财政拨款收入支出决算总表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11546" w:type="dxa"/>
            <w:gridSpan w:val="11"/>
            <w:tcBorders>
              <w:top w:val="nil"/>
              <w:left w:val="nil"/>
              <w:bottom w:val="nil"/>
              <w:right w:val="nil"/>
            </w:tcBorders>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公开04表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5694" w:type="dxa"/>
            <w:gridSpan w:val="4"/>
            <w:tcBorders>
              <w:top w:val="nil"/>
              <w:left w:val="nil"/>
              <w:bottom w:val="single" w:color="auto" w:sz="4" w:space="0"/>
              <w:right w:val="nil"/>
            </w:tcBorders>
            <w:vAlign w:val="bottom"/>
          </w:tcPr>
          <w:p>
            <w:pPr>
              <w:rPr>
                <w:rFonts w:hint="eastAsia" w:ascii="仿宋" w:hAnsi="仿宋" w:eastAsia="仿宋" w:cs="仿宋"/>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部门：石家庄市审计局 </w:t>
            </w: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 xml:space="preserve">                                                                                                   </w:t>
            </w:r>
          </w:p>
        </w:tc>
        <w:tc>
          <w:tcPr>
            <w:tcW w:w="1521" w:type="dxa"/>
            <w:gridSpan w:val="3"/>
            <w:tcBorders>
              <w:top w:val="nil"/>
              <w:left w:val="nil"/>
              <w:bottom w:val="single" w:color="auto" w:sz="4" w:space="0"/>
              <w:right w:val="nil"/>
            </w:tcBorders>
            <w:vAlign w:val="bottom"/>
          </w:tcPr>
          <w:p>
            <w:pPr>
              <w:jc w:val="center"/>
              <w:rPr>
                <w:rFonts w:hint="default" w:asciiTheme="minorEastAsia" w:hAnsiTheme="minorEastAsia" w:eastAsiaTheme="minorEastAsia" w:cstheme="minorEastAsia"/>
                <w:i w:val="0"/>
                <w:iCs w:val="0"/>
                <w:color w:val="000000"/>
                <w:kern w:val="0"/>
                <w:sz w:val="20"/>
                <w:szCs w:val="20"/>
                <w:highlight w:val="none"/>
                <w:u w:val="none"/>
                <w:lang w:val="en-US" w:eastAsia="zh-CN" w:bidi="ar"/>
              </w:rPr>
            </w:pPr>
            <w:r>
              <w:rPr>
                <w:rFonts w:hint="default" w:ascii="Times New Roman" w:hAnsi="Times New Roman" w:cs="Times New Roman"/>
                <w:i w:val="0"/>
                <w:iCs w:val="0"/>
                <w:color w:val="000000"/>
                <w:kern w:val="0"/>
                <w:sz w:val="20"/>
                <w:szCs w:val="20"/>
                <w:highlight w:val="none"/>
                <w:u w:val="none"/>
                <w:lang w:val="en-US" w:eastAsia="zh-CN" w:bidi="ar"/>
              </w:rPr>
              <w:t>202</w:t>
            </w:r>
            <w:r>
              <w:rPr>
                <w:rFonts w:hint="eastAsia" w:ascii="Times New Roman" w:hAnsi="Times New Roman" w:cs="Times New Roman"/>
                <w:i w:val="0"/>
                <w:iCs w:val="0"/>
                <w:color w:val="000000"/>
                <w:kern w:val="0"/>
                <w:sz w:val="20"/>
                <w:szCs w:val="20"/>
                <w:highlight w:val="none"/>
                <w:u w:val="none"/>
                <w:lang w:val="en-US" w:eastAsia="zh-CN" w:bidi="ar"/>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4331" w:type="dxa"/>
            <w:gridSpan w:val="4"/>
            <w:tcBorders>
              <w:top w:val="nil"/>
              <w:left w:val="nil"/>
              <w:bottom w:val="single" w:color="auto" w:sz="4" w:space="0"/>
              <w:right w:val="nil"/>
            </w:tcBorders>
            <w:vAlign w:val="bottom"/>
          </w:tcPr>
          <w:p>
            <w:pPr>
              <w:jc w:val="right"/>
              <w:rPr>
                <w:rFonts w:hint="default" w:asciiTheme="minorEastAsia" w:hAnsiTheme="minorEastAsia" w:eastAsiaTheme="minorEastAsia" w:cstheme="minorEastAsia"/>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金额部门：万元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4035" w:type="dxa"/>
            <w:gridSpan w:val="3"/>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收入</w:t>
            </w:r>
          </w:p>
        </w:tc>
        <w:tc>
          <w:tcPr>
            <w:tcW w:w="7511" w:type="dxa"/>
            <w:gridSpan w:val="8"/>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1984" w:type="dxa"/>
            <w:vMerge w:val="restart"/>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    目</w:t>
            </w:r>
          </w:p>
        </w:tc>
        <w:tc>
          <w:tcPr>
            <w:tcW w:w="624" w:type="dxa"/>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行次</w:t>
            </w:r>
          </w:p>
        </w:tc>
        <w:tc>
          <w:tcPr>
            <w:tcW w:w="1427" w:type="dxa"/>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金额</w:t>
            </w:r>
          </w:p>
        </w:tc>
        <w:tc>
          <w:tcPr>
            <w:tcW w:w="2098" w:type="dxa"/>
            <w:gridSpan w:val="2"/>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624" w:type="dxa"/>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行次</w:t>
            </w:r>
          </w:p>
        </w:tc>
        <w:tc>
          <w:tcPr>
            <w:tcW w:w="1295" w:type="dxa"/>
            <w:gridSpan w:val="2"/>
            <w:vMerge w:val="restart"/>
            <w:tcBorders>
              <w:top w:val="nil"/>
              <w:left w:val="nil"/>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rPr>
              <w:t>合计</w:t>
            </w:r>
          </w:p>
        </w:tc>
        <w:tc>
          <w:tcPr>
            <w:tcW w:w="1219" w:type="dxa"/>
            <w:vMerge w:val="restart"/>
            <w:tcBorders>
              <w:top w:val="nil"/>
              <w:left w:val="nil"/>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rPr>
              <w:t>一般公共预算财政拨款</w:t>
            </w:r>
          </w:p>
        </w:tc>
        <w:tc>
          <w:tcPr>
            <w:tcW w:w="1219" w:type="dxa"/>
            <w:vMerge w:val="restart"/>
            <w:tcBorders>
              <w:top w:val="nil"/>
              <w:left w:val="nil"/>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rPr>
              <w:t>政府性基金预算财政拨款</w:t>
            </w:r>
          </w:p>
        </w:tc>
        <w:tc>
          <w:tcPr>
            <w:tcW w:w="1056" w:type="dxa"/>
            <w:vMerge w:val="restart"/>
            <w:tcBorders>
              <w:top w:val="nil"/>
              <w:left w:val="nil"/>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rPr>
              <w:t>国有资本经营预算财政拨款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1984" w:type="dxa"/>
            <w:vMerge w:val="continue"/>
            <w:tcBorders>
              <w:top w:val="nil"/>
              <w:left w:val="single" w:color="000000" w:sz="4" w:space="0"/>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624"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427"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2098" w:type="dxa"/>
            <w:gridSpan w:val="2"/>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624"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295" w:type="dxa"/>
            <w:gridSpan w:val="2"/>
            <w:vMerge w:val="continue"/>
            <w:tcBorders>
              <w:left w:val="nil"/>
              <w:bottom w:val="single" w:color="000000" w:sz="4" w:space="0"/>
              <w:right w:val="single" w:color="000000" w:sz="8"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c>
          <w:tcPr>
            <w:tcW w:w="1219" w:type="dxa"/>
            <w:vMerge w:val="continue"/>
            <w:tcBorders>
              <w:left w:val="nil"/>
              <w:bottom w:val="single" w:color="000000" w:sz="4" w:space="0"/>
              <w:right w:val="single" w:color="000000" w:sz="8"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c>
          <w:tcPr>
            <w:tcW w:w="1219" w:type="dxa"/>
            <w:vMerge w:val="continue"/>
            <w:tcBorders>
              <w:left w:val="nil"/>
              <w:bottom w:val="single" w:color="000000" w:sz="4" w:space="0"/>
              <w:right w:val="single" w:color="000000" w:sz="8"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c>
          <w:tcPr>
            <w:tcW w:w="1056" w:type="dxa"/>
            <w:vMerge w:val="continue"/>
            <w:tcBorders>
              <w:left w:val="nil"/>
              <w:bottom w:val="single" w:color="000000" w:sz="4" w:space="0"/>
              <w:right w:val="single" w:color="000000" w:sz="8"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    次</w:t>
            </w:r>
          </w:p>
        </w:tc>
        <w:tc>
          <w:tcPr>
            <w:tcW w:w="624" w:type="dxa"/>
            <w:tcBorders>
              <w:top w:val="nil"/>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427"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    次</w:t>
            </w:r>
          </w:p>
        </w:tc>
        <w:tc>
          <w:tcPr>
            <w:tcW w:w="624" w:type="dxa"/>
            <w:tcBorders>
              <w:top w:val="nil"/>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29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219"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1219"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1056" w:type="dxa"/>
            <w:tcBorders>
              <w:top w:val="nil"/>
              <w:left w:val="nil"/>
              <w:bottom w:val="single" w:color="000000" w:sz="4" w:space="0"/>
              <w:right w:val="single" w:color="000000"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一、一般公共预算财政拨款</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4,842.33</w:t>
            </w: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一、一般公共服务支出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33</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3,444.28</w:t>
            </w: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3,444.28</w:t>
            </w: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二、政府性基金预算财政拨款</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二、外交支出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34</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三、国有资本经营预算财政拨款</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三、国防支出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35</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四、公共安全支出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36</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五、教育支出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37</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六、科学技术支出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38</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7</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七、文化旅游体育与传媒支出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39</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8</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八、社会保障和就业支出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40</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823.49</w:t>
            </w: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823.49</w:t>
            </w: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9</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九、卫生健康支出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41</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187.72</w:t>
            </w: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187.72</w:t>
            </w: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10</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十、节能环保支出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42</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11</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十一、城乡社区支出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43</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auto"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auto"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12</w:t>
            </w:r>
          </w:p>
        </w:tc>
        <w:tc>
          <w:tcPr>
            <w:tcW w:w="1427" w:type="dxa"/>
            <w:tcBorders>
              <w:top w:val="nil"/>
              <w:left w:val="nil"/>
              <w:bottom w:val="single" w:color="auto"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auto"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十二、农林水支出</w:t>
            </w:r>
          </w:p>
        </w:tc>
        <w:tc>
          <w:tcPr>
            <w:tcW w:w="624" w:type="dxa"/>
            <w:tcBorders>
              <w:top w:val="nil"/>
              <w:left w:val="nil"/>
              <w:bottom w:val="single" w:color="auto"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44</w:t>
            </w:r>
          </w:p>
        </w:tc>
        <w:tc>
          <w:tcPr>
            <w:tcW w:w="1295" w:type="dxa"/>
            <w:gridSpan w:val="2"/>
            <w:tcBorders>
              <w:top w:val="nil"/>
              <w:left w:val="nil"/>
              <w:bottom w:val="single" w:color="auto"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auto"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auto"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nil"/>
              <w:left w:val="nil"/>
              <w:bottom w:val="single" w:color="auto"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13</w:t>
            </w:r>
          </w:p>
        </w:tc>
        <w:tc>
          <w:tcPr>
            <w:tcW w:w="1427"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十三、交通运输支出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45</w:t>
            </w:r>
          </w:p>
        </w:tc>
        <w:tc>
          <w:tcPr>
            <w:tcW w:w="1295"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14</w:t>
            </w:r>
          </w:p>
        </w:tc>
        <w:tc>
          <w:tcPr>
            <w:tcW w:w="1427"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十四、资源勘探工业信息等支出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46</w:t>
            </w:r>
          </w:p>
        </w:tc>
        <w:tc>
          <w:tcPr>
            <w:tcW w:w="1295"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15</w:t>
            </w:r>
          </w:p>
        </w:tc>
        <w:tc>
          <w:tcPr>
            <w:tcW w:w="1427"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十五、商业服务业等支出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47</w:t>
            </w:r>
          </w:p>
        </w:tc>
        <w:tc>
          <w:tcPr>
            <w:tcW w:w="1295"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16</w:t>
            </w:r>
          </w:p>
        </w:tc>
        <w:tc>
          <w:tcPr>
            <w:tcW w:w="1427"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十六、金融支出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48</w:t>
            </w:r>
          </w:p>
        </w:tc>
        <w:tc>
          <w:tcPr>
            <w:tcW w:w="1295"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17</w:t>
            </w:r>
          </w:p>
        </w:tc>
        <w:tc>
          <w:tcPr>
            <w:tcW w:w="1427"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十七、援助其他地区支出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49</w:t>
            </w:r>
          </w:p>
        </w:tc>
        <w:tc>
          <w:tcPr>
            <w:tcW w:w="1295"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18</w:t>
            </w:r>
          </w:p>
        </w:tc>
        <w:tc>
          <w:tcPr>
            <w:tcW w:w="1427"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十八、自然资源海洋气象等支出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50</w:t>
            </w:r>
          </w:p>
        </w:tc>
        <w:tc>
          <w:tcPr>
            <w:tcW w:w="1295"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19</w:t>
            </w:r>
          </w:p>
        </w:tc>
        <w:tc>
          <w:tcPr>
            <w:tcW w:w="1427"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十九、住房保障支出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51</w:t>
            </w:r>
          </w:p>
        </w:tc>
        <w:tc>
          <w:tcPr>
            <w:tcW w:w="1295"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362.45</w:t>
            </w: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362.45</w:t>
            </w: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20</w:t>
            </w:r>
          </w:p>
        </w:tc>
        <w:tc>
          <w:tcPr>
            <w:tcW w:w="1427"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二十、粮油物资储备支出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52</w:t>
            </w:r>
          </w:p>
        </w:tc>
        <w:tc>
          <w:tcPr>
            <w:tcW w:w="1295"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21</w:t>
            </w:r>
          </w:p>
        </w:tc>
        <w:tc>
          <w:tcPr>
            <w:tcW w:w="1427"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二十一、国有资本经营预算支出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53</w:t>
            </w:r>
          </w:p>
        </w:tc>
        <w:tc>
          <w:tcPr>
            <w:tcW w:w="1295"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22</w:t>
            </w:r>
          </w:p>
        </w:tc>
        <w:tc>
          <w:tcPr>
            <w:tcW w:w="1427"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二十二、灾害防治及应急管理支出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54</w:t>
            </w:r>
          </w:p>
        </w:tc>
        <w:tc>
          <w:tcPr>
            <w:tcW w:w="1295"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23</w:t>
            </w:r>
          </w:p>
        </w:tc>
        <w:tc>
          <w:tcPr>
            <w:tcW w:w="1427"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二十三、其他支出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55</w:t>
            </w:r>
          </w:p>
        </w:tc>
        <w:tc>
          <w:tcPr>
            <w:tcW w:w="1295"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24</w:t>
            </w:r>
          </w:p>
        </w:tc>
        <w:tc>
          <w:tcPr>
            <w:tcW w:w="1427" w:type="dxa"/>
            <w:tcBorders>
              <w:top w:val="single" w:color="auto" w:sz="4" w:space="0"/>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二十四、债务还本支出</w:t>
            </w:r>
          </w:p>
        </w:tc>
        <w:tc>
          <w:tcPr>
            <w:tcW w:w="624" w:type="dxa"/>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56</w:t>
            </w:r>
          </w:p>
        </w:tc>
        <w:tc>
          <w:tcPr>
            <w:tcW w:w="1295" w:type="dxa"/>
            <w:gridSpan w:val="2"/>
            <w:tcBorders>
              <w:top w:val="single" w:color="auto" w:sz="4" w:space="0"/>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single" w:color="auto" w:sz="4" w:space="0"/>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jc w:val="center"/>
              <w:rPr>
                <w:rFonts w:hint="eastAsia" w:ascii="宋体" w:hAnsi="宋体" w:eastAsia="宋体" w:cs="宋体"/>
                <w:b/>
                <w:bCs/>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25</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二十五、债务付息支出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57</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26</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二十六、抗疫特别国债安排的支出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58</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本年收入合计</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27</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4,842.33</w:t>
            </w: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本年支出合计</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59</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4,817.94</w:t>
            </w: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4,817.94</w:t>
            </w: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年初财政拨款结转和结余</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28</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52.99</w:t>
            </w: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年末财政拨款结转和结余</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60</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77.38</w:t>
            </w:r>
          </w:p>
        </w:tc>
        <w:tc>
          <w:tcPr>
            <w:tcW w:w="1219" w:type="dxa"/>
            <w:tcBorders>
              <w:top w:val="nil"/>
              <w:left w:val="nil"/>
              <w:bottom w:val="single" w:color="000000" w:sz="4" w:space="0"/>
              <w:right w:val="single" w:color="000000" w:sz="4" w:space="0"/>
            </w:tcBorders>
            <w:vAlign w:val="center"/>
          </w:tcPr>
          <w:p>
            <w:pPr>
              <w:jc w:val="both"/>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77.38</w:t>
            </w: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nil"/>
              <w:left w:val="nil"/>
              <w:bottom w:val="single" w:color="000000" w:sz="4" w:space="0"/>
              <w:right w:val="single" w:color="000000" w:sz="8" w:space="0"/>
            </w:tcBorders>
            <w:vAlign w:val="center"/>
          </w:tcPr>
          <w:p>
            <w:pPr>
              <w:jc w:val="both"/>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一、一般公共预算财政拨款</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29</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52.99</w:t>
            </w:r>
          </w:p>
        </w:tc>
        <w:tc>
          <w:tcPr>
            <w:tcW w:w="2098" w:type="dxa"/>
            <w:gridSpan w:val="2"/>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61</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nil"/>
              <w:left w:val="nil"/>
              <w:bottom w:val="single" w:color="000000" w:sz="4" w:space="0"/>
              <w:right w:val="single" w:color="000000" w:sz="8" w:space="0"/>
            </w:tcBorders>
            <w:vAlign w:val="center"/>
          </w:tcPr>
          <w:p>
            <w:pPr>
              <w:jc w:val="lef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二、政府性基金预算财政拨款</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30</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62</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nil"/>
              <w:left w:val="nil"/>
              <w:bottom w:val="single" w:color="000000" w:sz="4" w:space="0"/>
              <w:right w:val="single" w:color="000000" w:sz="8" w:space="0"/>
            </w:tcBorders>
            <w:vAlign w:val="center"/>
          </w:tcPr>
          <w:p>
            <w:pPr>
              <w:jc w:val="lef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三、国有资本经营预算财政拨款</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31</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63</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nil"/>
              <w:left w:val="nil"/>
              <w:bottom w:val="single" w:color="000000" w:sz="4" w:space="0"/>
              <w:right w:val="single" w:color="000000" w:sz="8" w:space="0"/>
            </w:tcBorders>
            <w:vAlign w:val="center"/>
          </w:tcPr>
          <w:p>
            <w:pPr>
              <w:jc w:val="lef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8"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总计</w:t>
            </w:r>
          </w:p>
        </w:tc>
        <w:tc>
          <w:tcPr>
            <w:tcW w:w="624" w:type="dxa"/>
            <w:tcBorders>
              <w:top w:val="nil"/>
              <w:left w:val="nil"/>
              <w:bottom w:val="single" w:color="000000" w:sz="8"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32</w:t>
            </w:r>
          </w:p>
        </w:tc>
        <w:tc>
          <w:tcPr>
            <w:tcW w:w="1427" w:type="dxa"/>
            <w:tcBorders>
              <w:top w:val="nil"/>
              <w:left w:val="nil"/>
              <w:bottom w:val="single" w:color="000000" w:sz="8"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4,895.32</w:t>
            </w:r>
          </w:p>
        </w:tc>
        <w:tc>
          <w:tcPr>
            <w:tcW w:w="2098" w:type="dxa"/>
            <w:gridSpan w:val="2"/>
            <w:tcBorders>
              <w:top w:val="nil"/>
              <w:left w:val="nil"/>
              <w:bottom w:val="single" w:color="000000" w:sz="8"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总计</w:t>
            </w:r>
          </w:p>
        </w:tc>
        <w:tc>
          <w:tcPr>
            <w:tcW w:w="624" w:type="dxa"/>
            <w:tcBorders>
              <w:top w:val="nil"/>
              <w:left w:val="nil"/>
              <w:bottom w:val="single" w:color="000000" w:sz="8"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64</w:t>
            </w:r>
          </w:p>
        </w:tc>
        <w:tc>
          <w:tcPr>
            <w:tcW w:w="1295" w:type="dxa"/>
            <w:gridSpan w:val="2"/>
            <w:tcBorders>
              <w:top w:val="nil"/>
              <w:left w:val="nil"/>
              <w:bottom w:val="single" w:color="000000" w:sz="8"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4,895.32</w:t>
            </w:r>
          </w:p>
        </w:tc>
        <w:tc>
          <w:tcPr>
            <w:tcW w:w="1219" w:type="dxa"/>
            <w:tcBorders>
              <w:top w:val="nil"/>
              <w:left w:val="nil"/>
              <w:bottom w:val="single" w:color="000000" w:sz="8" w:space="0"/>
              <w:right w:val="single" w:color="000000" w:sz="4" w:space="0"/>
            </w:tcBorders>
            <w:vAlign w:val="center"/>
          </w:tcPr>
          <w:p>
            <w:pPr>
              <w:jc w:val="right"/>
              <w:rPr>
                <w:rFonts w:hint="default" w:ascii="Times New Roman" w:hAnsi="Times New Roman" w:cs="Times New Roman"/>
                <w:sz w:val="20"/>
                <w:szCs w:val="20"/>
                <w:highlight w:val="none"/>
              </w:rPr>
            </w:pPr>
          </w:p>
          <w:p>
            <w:pPr>
              <w:jc w:val="right"/>
              <w:rPr>
                <w:rFonts w:hint="default" w:ascii="Times New Roman" w:hAnsi="Times New Roman" w:cs="Times New Roman"/>
                <w:sz w:val="20"/>
                <w:szCs w:val="20"/>
                <w:highlight w:val="none"/>
              </w:rPr>
            </w:pPr>
            <w:r>
              <w:rPr>
                <w:rFonts w:hint="default" w:ascii="Times New Roman" w:hAnsi="Times New Roman" w:cs="Times New Roman"/>
                <w:sz w:val="20"/>
                <w:szCs w:val="20"/>
                <w:highlight w:val="none"/>
              </w:rPr>
              <w:t>4,895.32</w:t>
            </w:r>
          </w:p>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8"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56" w:type="dxa"/>
            <w:tcBorders>
              <w:top w:val="nil"/>
              <w:left w:val="nil"/>
              <w:bottom w:val="single" w:color="000000" w:sz="8"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1546" w:type="dxa"/>
            <w:gridSpan w:val="11"/>
            <w:tcBorders>
              <w:top w:val="nil"/>
              <w:left w:val="nil"/>
              <w:bottom w:val="nil"/>
              <w:right w:val="nil"/>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注：本表反映部门本年度一般公共预算财政拨款、政府性基金预算财政拨款和国有资本经营预算财政拨款的总收支和年末结转结余情况。</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6"/>
        <w:tblW w:w="8697" w:type="dxa"/>
        <w:tblInd w:w="-6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39"/>
        <w:gridCol w:w="1329"/>
        <w:gridCol w:w="705"/>
        <w:gridCol w:w="1305"/>
        <w:gridCol w:w="1366"/>
        <w:gridCol w:w="645"/>
        <w:gridCol w:w="21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57" w:hRule="atLeast"/>
        </w:trPr>
        <w:tc>
          <w:tcPr>
            <w:tcW w:w="8697" w:type="dxa"/>
            <w:gridSpan w:val="7"/>
            <w:tcBorders>
              <w:top w:val="nil"/>
              <w:left w:val="nil"/>
              <w:bottom w:val="nil"/>
              <w:right w:val="nil"/>
            </w:tcBorders>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一般公共预算财政拨款支出决算表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atLeast"/>
        </w:trPr>
        <w:tc>
          <w:tcPr>
            <w:tcW w:w="8697" w:type="dxa"/>
            <w:gridSpan w:val="7"/>
            <w:tcBorders>
              <w:top w:val="nil"/>
              <w:left w:val="nil"/>
              <w:bottom w:val="nil"/>
              <w:right w:val="nil"/>
            </w:tcBorders>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w:t>
            </w:r>
            <w:r>
              <w:rPr>
                <w:rFonts w:hint="default" w:ascii="Times New Roman" w:hAnsi="Times New Roman" w:eastAsia="方正仿宋_GB2312" w:cs="Times New Roman"/>
                <w:i w:val="0"/>
                <w:iCs w:val="0"/>
                <w:color w:val="000000"/>
                <w:kern w:val="0"/>
                <w:sz w:val="20"/>
                <w:szCs w:val="20"/>
                <w:highlight w:val="none"/>
                <w:u w:val="none"/>
                <w:lang w:val="en-US" w:eastAsia="zh-CN" w:bidi="ar"/>
              </w:rPr>
              <w:t>05</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atLeast"/>
        </w:trPr>
        <w:tc>
          <w:tcPr>
            <w:tcW w:w="3273" w:type="dxa"/>
            <w:gridSpan w:val="3"/>
            <w:tcBorders>
              <w:top w:val="nil"/>
              <w:left w:val="nil"/>
              <w:bottom w:val="single" w:color="auto" w:sz="4" w:space="0"/>
              <w:right w:val="nil"/>
            </w:tcBorders>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编制部门：石家庄市审计局</w:t>
            </w:r>
          </w:p>
        </w:tc>
        <w:tc>
          <w:tcPr>
            <w:tcW w:w="2671" w:type="dxa"/>
            <w:gridSpan w:val="2"/>
            <w:tcBorders>
              <w:top w:val="nil"/>
              <w:left w:val="nil"/>
              <w:bottom w:val="single" w:color="auto" w:sz="4" w:space="0"/>
              <w:right w:val="nil"/>
            </w:tcBorders>
            <w:vAlign w:val="bottom"/>
          </w:tcPr>
          <w:p>
            <w:pPr>
              <w:keepNext w:val="0"/>
              <w:keepLines w:val="0"/>
              <w:widowControl/>
              <w:suppressLineNumbers w:val="0"/>
              <w:jc w:val="center"/>
              <w:textAlignment w:val="bottom"/>
              <w:rPr>
                <w:rFonts w:hint="default" w:asciiTheme="minorEastAsia" w:hAnsiTheme="minorEastAsia" w:eastAsiaTheme="minorEastAsia" w:cstheme="minorEastAsia"/>
                <w:i w:val="0"/>
                <w:iCs w:val="0"/>
                <w:color w:val="000000"/>
                <w:kern w:val="0"/>
                <w:sz w:val="20"/>
                <w:szCs w:val="20"/>
                <w:highlight w:val="none"/>
                <w:u w:val="none"/>
                <w:lang w:val="en-US" w:eastAsia="zh-CN" w:bidi="ar"/>
              </w:rPr>
            </w:pPr>
            <w:r>
              <w:rPr>
                <w:rFonts w:hint="default" w:ascii="Times New Roman" w:hAnsi="Times New Roman" w:cs="Times New Roman"/>
                <w:i w:val="0"/>
                <w:iCs w:val="0"/>
                <w:color w:val="000000"/>
                <w:kern w:val="0"/>
                <w:sz w:val="20"/>
                <w:szCs w:val="20"/>
                <w:highlight w:val="none"/>
                <w:u w:val="none"/>
                <w:lang w:val="en-US" w:eastAsia="zh-CN" w:bidi="ar"/>
              </w:rPr>
              <w:t>202</w:t>
            </w:r>
            <w:r>
              <w:rPr>
                <w:rFonts w:hint="eastAsia" w:ascii="Times New Roman" w:hAnsi="Times New Roman" w:cs="Times New Roman"/>
                <w:i w:val="0"/>
                <w:iCs w:val="0"/>
                <w:color w:val="000000"/>
                <w:kern w:val="0"/>
                <w:sz w:val="20"/>
                <w:szCs w:val="20"/>
                <w:highlight w:val="none"/>
                <w:u w:val="none"/>
                <w:lang w:val="en-US" w:eastAsia="zh-CN" w:bidi="ar"/>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2753" w:type="dxa"/>
            <w:gridSpan w:val="2"/>
            <w:tcBorders>
              <w:top w:val="nil"/>
              <w:left w:val="nil"/>
              <w:bottom w:val="single" w:color="auto" w:sz="4" w:space="0"/>
              <w:right w:val="nil"/>
            </w:tcBorders>
            <w:vAlign w:val="bottom"/>
          </w:tcPr>
          <w:p>
            <w:pPr>
              <w:keepNext w:val="0"/>
              <w:keepLines w:val="0"/>
              <w:widowControl/>
              <w:suppressLineNumbers w:val="0"/>
              <w:jc w:val="right"/>
              <w:textAlignment w:val="bottom"/>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金额部门：万元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256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6129"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9" w:hRule="atLeast"/>
        </w:trPr>
        <w:tc>
          <w:tcPr>
            <w:tcW w:w="1239"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科目代码</w:t>
            </w:r>
          </w:p>
        </w:tc>
        <w:tc>
          <w:tcPr>
            <w:tcW w:w="1329"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科目名称</w:t>
            </w:r>
          </w:p>
        </w:tc>
        <w:tc>
          <w:tcPr>
            <w:tcW w:w="2010" w:type="dxa"/>
            <w:gridSpan w:val="2"/>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小计</w:t>
            </w:r>
          </w:p>
        </w:tc>
        <w:tc>
          <w:tcPr>
            <w:tcW w:w="2011" w:type="dxa"/>
            <w:gridSpan w:val="2"/>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基本支出</w:t>
            </w:r>
          </w:p>
        </w:tc>
        <w:tc>
          <w:tcPr>
            <w:tcW w:w="2108"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6" w:hRule="atLeast"/>
        </w:trPr>
        <w:tc>
          <w:tcPr>
            <w:tcW w:w="1239"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329"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2010"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2011"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2108"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9" w:hRule="atLeast"/>
        </w:trPr>
        <w:tc>
          <w:tcPr>
            <w:tcW w:w="1239"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329"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2010"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2011"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2108"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9" w:hRule="atLeast"/>
        </w:trPr>
        <w:tc>
          <w:tcPr>
            <w:tcW w:w="256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1</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2</w:t>
            </w:r>
          </w:p>
        </w:tc>
        <w:tc>
          <w:tcPr>
            <w:tcW w:w="210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9" w:hRule="atLeast"/>
        </w:trPr>
        <w:tc>
          <w:tcPr>
            <w:tcW w:w="256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合计</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4,817.94</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3,896.62</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921.32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一般公共服务支出</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3,444.28</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2,522.96</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921.32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20108</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审计事务</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3,444.28</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2,522.96</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921.32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2010801</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行政运行</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2,522.96</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2,522.96</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2010804</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审计业务</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621.50</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621.50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2010805</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审计管理</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267.83</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267.83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2010806</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信息化建设</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12.00</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2010899</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其他审计事务支出</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20.00</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社会保障和就业支出</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823.49</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823.49</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20805</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行政事业部门养老支出</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823.49</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823.49</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2080501</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行政部门离退休</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487.06</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487.06</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2080505</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机关事业部门基本养老保险缴费支出</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336.43</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336.43</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卫生健康支出</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187.72</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187.72</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21011</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行政事业部门医疗</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187.72</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187.72</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2101101</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行政部门医疗</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101.83</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101.83</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2101103</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公务员医疗补助</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85.89</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85.89</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221</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住房保障支出</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362.45</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362.45</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22102</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住房改革支出</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362.45</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362.45</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2210201</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住房公积金</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362.45</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362.45</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8697" w:type="dxa"/>
            <w:gridSpan w:val="7"/>
            <w:tcBorders>
              <w:top w:val="single" w:color="auto" w:sz="4" w:space="0"/>
              <w:left w:val="nil"/>
              <w:bottom w:val="nil"/>
              <w:right w:val="nil"/>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注：本表反映部门本年度一般公共预算财政拨款支出情况。</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6"/>
        <w:tblW w:w="11338" w:type="dxa"/>
        <w:tblInd w:w="-161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64"/>
        <w:gridCol w:w="1814"/>
        <w:gridCol w:w="1020"/>
        <w:gridCol w:w="964"/>
        <w:gridCol w:w="438"/>
        <w:gridCol w:w="1376"/>
        <w:gridCol w:w="587"/>
        <w:gridCol w:w="377"/>
        <w:gridCol w:w="964"/>
        <w:gridCol w:w="1814"/>
        <w:gridCol w:w="10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24" w:hRule="atLeast"/>
        </w:trPr>
        <w:tc>
          <w:tcPr>
            <w:tcW w:w="11338" w:type="dxa"/>
            <w:gridSpan w:val="11"/>
            <w:tcBorders>
              <w:top w:val="nil"/>
              <w:left w:val="nil"/>
              <w:bottom w:val="nil"/>
              <w:right w:val="nil"/>
            </w:tcBorders>
            <w:vAlign w:val="bottom"/>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sz w:val="18"/>
                <w:szCs w:val="18"/>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一般公共预算财政拨款基本支出决算明细表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11338" w:type="dxa"/>
            <w:gridSpan w:val="11"/>
            <w:tcBorders>
              <w:top w:val="nil"/>
              <w:left w:val="nil"/>
              <w:bottom w:val="nil"/>
              <w:right w:val="nil"/>
            </w:tcBorders>
            <w:vAlign w:val="bottom"/>
          </w:tcPr>
          <w:p>
            <w:pPr>
              <w:keepNext w:val="0"/>
              <w:keepLines w:val="0"/>
              <w:widowControl/>
              <w:suppressLineNumbers w:val="0"/>
              <w:jc w:val="right"/>
              <w:textAlignment w:val="bottom"/>
              <w:rPr>
                <w:rFonts w:hint="eastAsia" w:asciiTheme="minorEastAsia" w:hAnsiTheme="minorEastAsia" w:eastAsiaTheme="minorEastAsia" w:cstheme="minorEastAsia"/>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公开</w:t>
            </w:r>
            <w:r>
              <w:rPr>
                <w:rFonts w:hint="default" w:ascii="Times New Roman" w:hAnsi="Times New Roman" w:eastAsia="方正仿宋_GB2312" w:cs="Times New Roman"/>
                <w:i w:val="0"/>
                <w:iCs w:val="0"/>
                <w:color w:val="000000"/>
                <w:kern w:val="0"/>
                <w:sz w:val="18"/>
                <w:szCs w:val="18"/>
                <w:highlight w:val="none"/>
                <w:u w:val="none"/>
                <w:lang w:val="en-US" w:eastAsia="zh-CN" w:bidi="ar"/>
              </w:rPr>
              <w:t>06</w:t>
            </w: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5200" w:type="dxa"/>
            <w:gridSpan w:val="5"/>
            <w:tcBorders>
              <w:top w:val="nil"/>
              <w:left w:val="nil"/>
              <w:bottom w:val="single" w:color="auto" w:sz="4" w:space="0"/>
              <w:right w:val="nil"/>
            </w:tcBorders>
            <w:vAlign w:val="bottom"/>
          </w:tcPr>
          <w:p>
            <w:pPr>
              <w:rPr>
                <w:rFonts w:hint="eastAsia" w:asciiTheme="minorEastAsia" w:hAnsiTheme="minorEastAsia" w:eastAsiaTheme="minorEastAsia" w:cstheme="minorEastAsia"/>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部门：石家庄市审计局</w:t>
            </w:r>
            <w:r>
              <w:rPr>
                <w:rFonts w:hint="eastAsia" w:asciiTheme="minorEastAsia" w:hAnsiTheme="minorEastAsia" w:cstheme="minorEastAsia"/>
                <w:i w:val="0"/>
                <w:iCs w:val="0"/>
                <w:color w:val="000000"/>
                <w:kern w:val="0"/>
                <w:sz w:val="18"/>
                <w:szCs w:val="18"/>
                <w:highlight w:val="none"/>
                <w:u w:val="none"/>
                <w:lang w:val="en-US" w:eastAsia="zh-CN" w:bidi="ar"/>
              </w:rPr>
              <w:t xml:space="preserve">                                                              </w:t>
            </w:r>
          </w:p>
        </w:tc>
        <w:tc>
          <w:tcPr>
            <w:tcW w:w="1963" w:type="dxa"/>
            <w:gridSpan w:val="2"/>
            <w:tcBorders>
              <w:top w:val="nil"/>
              <w:left w:val="nil"/>
              <w:bottom w:val="single" w:color="auto" w:sz="4" w:space="0"/>
              <w:right w:val="nil"/>
            </w:tcBorders>
            <w:vAlign w:val="bottom"/>
          </w:tcPr>
          <w:p>
            <w:pPr>
              <w:jc w:val="center"/>
              <w:rPr>
                <w:rFonts w:hint="default" w:asciiTheme="minorEastAsia" w:hAnsiTheme="minorEastAsia" w:eastAsiaTheme="minorEastAsia" w:cstheme="minorEastAsia"/>
                <w:i w:val="0"/>
                <w:iCs w:val="0"/>
                <w:color w:val="000000"/>
                <w:kern w:val="0"/>
                <w:sz w:val="18"/>
                <w:szCs w:val="18"/>
                <w:highlight w:val="none"/>
                <w:u w:val="none"/>
                <w:lang w:val="en-US" w:eastAsia="zh-CN" w:bidi="ar"/>
              </w:rPr>
            </w:pPr>
            <w:r>
              <w:rPr>
                <w:rFonts w:hint="eastAsia" w:asciiTheme="minorEastAsia" w:hAnsiTheme="minorEastAsia" w:cstheme="minorEastAsia"/>
                <w:i w:val="0"/>
                <w:iCs w:val="0"/>
                <w:color w:val="000000"/>
                <w:kern w:val="0"/>
                <w:sz w:val="18"/>
                <w:szCs w:val="18"/>
                <w:highlight w:val="none"/>
                <w:u w:val="none"/>
                <w:lang w:val="en-US" w:eastAsia="zh-CN" w:bidi="ar"/>
              </w:rPr>
              <w:t>2024</w:t>
            </w: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年度</w:t>
            </w:r>
          </w:p>
        </w:tc>
        <w:tc>
          <w:tcPr>
            <w:tcW w:w="4175" w:type="dxa"/>
            <w:gridSpan w:val="4"/>
            <w:tcBorders>
              <w:top w:val="nil"/>
              <w:left w:val="nil"/>
              <w:bottom w:val="single" w:color="auto" w:sz="4" w:space="0"/>
              <w:right w:val="nil"/>
            </w:tcBorders>
            <w:vAlign w:val="bottom"/>
          </w:tcPr>
          <w:p>
            <w:pPr>
              <w:jc w:val="right"/>
              <w:rPr>
                <w:rFonts w:hint="default" w:asciiTheme="minorEastAsia" w:hAnsiTheme="minorEastAsia" w:eastAsiaTheme="minorEastAsia" w:cstheme="minorEastAsia"/>
                <w:i w:val="0"/>
                <w:iCs w:val="0"/>
                <w:color w:val="000000"/>
                <w:kern w:val="0"/>
                <w:sz w:val="18"/>
                <w:szCs w:val="18"/>
                <w:highlight w:val="none"/>
                <w:u w:val="none"/>
                <w:lang w:val="en-US" w:eastAsia="zh-CN" w:bidi="ar"/>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金额部门：万元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3798"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人员经费</w:t>
            </w:r>
          </w:p>
        </w:tc>
        <w:tc>
          <w:tcPr>
            <w:tcW w:w="7540" w:type="dxa"/>
            <w:gridSpan w:val="8"/>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lang w:val="en-US"/>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科目代码</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科目名称</w:t>
            </w:r>
          </w:p>
        </w:tc>
        <w:tc>
          <w:tcPr>
            <w:tcW w:w="10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金额</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lang w:val="en-US" w:eastAsia="zh-CN"/>
              </w:rPr>
            </w:pPr>
            <w:r>
              <w:rPr>
                <w:rFonts w:hint="eastAsia" w:ascii="方正仿宋_GB2312" w:hAnsi="方正仿宋_GB2312" w:eastAsia="方正仿宋_GB2312" w:cs="方正仿宋_GB2312"/>
                <w:i w:val="0"/>
                <w:iCs w:val="0"/>
                <w:color w:val="000000"/>
                <w:sz w:val="18"/>
                <w:szCs w:val="18"/>
                <w:highlight w:val="none"/>
                <w:u w:val="none"/>
                <w:lang w:val="en-US" w:eastAsia="zh-CN"/>
              </w:rPr>
              <w:t>科目代码</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科目名称</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金额</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lang w:val="en-US" w:eastAsia="zh-CN"/>
              </w:rPr>
            </w:pPr>
            <w:r>
              <w:rPr>
                <w:rFonts w:hint="eastAsia" w:ascii="方正仿宋_GB2312" w:hAnsi="方正仿宋_GB2312" w:eastAsia="方正仿宋_GB2312" w:cs="方正仿宋_GB2312"/>
                <w:i w:val="0"/>
                <w:iCs w:val="0"/>
                <w:color w:val="000000"/>
                <w:sz w:val="18"/>
                <w:szCs w:val="18"/>
                <w:highlight w:val="none"/>
                <w:u w:val="none"/>
                <w:lang w:val="en-US" w:eastAsia="zh-CN"/>
              </w:rPr>
              <w:t>科目代码</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科目名称</w:t>
            </w:r>
          </w:p>
        </w:tc>
        <w:tc>
          <w:tcPr>
            <w:tcW w:w="10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工资福利支出</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r>
              <w:rPr>
                <w:rFonts w:hint="eastAsia" w:ascii="Times New Roman" w:hAnsi="Times New Roman" w:cs="Times New Roman"/>
                <w:sz w:val="18"/>
                <w:szCs w:val="18"/>
                <w:highlight w:val="none"/>
                <w:lang w:eastAsia="zh-CN"/>
              </w:rPr>
              <w:t>3,090.40</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商品和服务支出</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r>
              <w:rPr>
                <w:rFonts w:hint="eastAsia" w:ascii="Times New Roman" w:hAnsi="Times New Roman" w:cs="Times New Roman"/>
                <w:sz w:val="18"/>
                <w:szCs w:val="18"/>
                <w:highlight w:val="none"/>
                <w:lang w:eastAsia="zh-CN"/>
              </w:rPr>
              <w:t>317.65</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307</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债务利息及费用支出</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30101</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基本工资</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r>
              <w:rPr>
                <w:rFonts w:hint="eastAsia" w:ascii="Times New Roman" w:hAnsi="Times New Roman" w:cs="Times New Roman"/>
                <w:sz w:val="18"/>
                <w:szCs w:val="18"/>
                <w:highlight w:val="none"/>
                <w:lang w:eastAsia="zh-CN"/>
              </w:rPr>
              <w:t>1,324.69</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30201</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办公费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r>
              <w:rPr>
                <w:rFonts w:hint="eastAsia" w:ascii="Times New Roman" w:hAnsi="Times New Roman" w:cs="Times New Roman"/>
                <w:sz w:val="18"/>
                <w:szCs w:val="18"/>
                <w:highlight w:val="none"/>
                <w:lang w:eastAsia="zh-CN"/>
              </w:rPr>
              <w:t>34.05</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30701</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国内债务付息</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30102</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津贴补贴</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r>
              <w:rPr>
                <w:rFonts w:hint="eastAsia" w:ascii="Times New Roman" w:hAnsi="Times New Roman" w:cs="Times New Roman"/>
                <w:sz w:val="18"/>
                <w:szCs w:val="18"/>
                <w:highlight w:val="none"/>
                <w:lang w:eastAsia="zh-CN"/>
              </w:rPr>
              <w:t>293.00</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30202</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印刷费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r>
              <w:rPr>
                <w:rFonts w:hint="eastAsia" w:ascii="Times New Roman" w:hAnsi="Times New Roman" w:cs="Times New Roman"/>
                <w:sz w:val="18"/>
                <w:szCs w:val="18"/>
                <w:highlight w:val="none"/>
                <w:lang w:eastAsia="zh-CN"/>
              </w:rPr>
              <w:t>3.41</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30702</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国外债务付息</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30103</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奖金</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r>
              <w:rPr>
                <w:rFonts w:hint="eastAsia" w:ascii="Times New Roman" w:hAnsi="Times New Roman" w:cs="Times New Roman"/>
                <w:sz w:val="18"/>
                <w:szCs w:val="18"/>
                <w:highlight w:val="none"/>
                <w:lang w:eastAsia="zh-CN"/>
              </w:rPr>
              <w:t>353.88</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30203</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咨询费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资本性支出</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30106</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伙食补助费</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30204</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手续费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31001</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房屋建筑物购建</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30107</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绩效工资</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r>
              <w:rPr>
                <w:rFonts w:hint="eastAsia" w:ascii="Times New Roman" w:hAnsi="Times New Roman" w:cs="Times New Roman"/>
                <w:sz w:val="18"/>
                <w:szCs w:val="18"/>
                <w:highlight w:val="none"/>
                <w:lang w:eastAsia="zh-CN"/>
              </w:rPr>
              <w:t>98.80</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30205</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水费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31002</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办公设备购置</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30108</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机关事业部门基本养老保险缴费</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r>
              <w:rPr>
                <w:rFonts w:hint="eastAsia" w:ascii="Times New Roman" w:hAnsi="Times New Roman" w:cs="Times New Roman"/>
                <w:sz w:val="18"/>
                <w:szCs w:val="18"/>
                <w:highlight w:val="none"/>
                <w:lang w:eastAsia="zh-CN"/>
              </w:rPr>
              <w:t>336.43</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30206</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电费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31003</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专用设备购置</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30109</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职业年金缴费</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30207</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邮电费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r>
              <w:rPr>
                <w:rFonts w:hint="eastAsia" w:ascii="Times New Roman" w:hAnsi="Times New Roman" w:cs="Times New Roman"/>
                <w:sz w:val="18"/>
                <w:szCs w:val="18"/>
                <w:highlight w:val="none"/>
                <w:lang w:eastAsia="zh-CN"/>
              </w:rPr>
              <w:t>69.38</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31005</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基础设施建设</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30110</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职工基本医疗保险缴费</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101.83</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30208</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取暖费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31006</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大型修缮</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30111</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公务员医疗补助缴费</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85.89</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30209</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物业管理费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31007</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信息网络及软件购置更新</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30112</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其他社会保障缴费</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30211</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差旅费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13.11</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31008</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物资储备</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30113</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住房公积金</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362.45</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30212</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因公出国（境）费用</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31009</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土地补偿</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30114</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医疗费</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30213</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维修（护）费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0.99</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31010</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安置补助</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30199</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其他工资福利支出</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133.43</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30214</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租赁费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31011</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地上附着物和青苗补偿</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对个人和家庭的补助</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488.57</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30215</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会议费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31012</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拆迁补偿</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30301</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离休费</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30216</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培训费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7.81</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31013</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公务用车购置</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30302</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退休费</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487.06</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30217</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公务接待费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0.16</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31019</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其他交通工具购置</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30303</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退职（役）费</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30218</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专用材料费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31021</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文物和陈列品购置</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30304</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抚恤金</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30224</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被装购置费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31022</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无形资产购置</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30305</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生活补助</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1.50</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30225</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专用燃料费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31099</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其他资本性支出</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30306</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救济费</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30226</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劳务费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对企业补助</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30307</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医疗费补助</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30227</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委托业务费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6.07</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31201</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资本金注入</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30308</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助学金</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30228</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工会经费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26.40</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31203</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政府投资基金股权投资</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30309</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奖励金</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30229</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福利费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14.15</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31204</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费用补贴</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30310</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个人农业生产补贴</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30231</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公务用车运行维护费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2.36</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31205</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利息补贴</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30311</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代缴社会保险费</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30239</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其他交通费用</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93.19</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31299</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其他对企业补助</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30399</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其他对个人和家庭的补助</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30240</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税金及附加费用</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其他支出</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i w:val="0"/>
                <w:iCs w:val="0"/>
                <w:color w:val="000000"/>
                <w:sz w:val="18"/>
                <w:szCs w:val="18"/>
                <w:highlight w:val="none"/>
                <w:u w:val="none"/>
              </w:rPr>
            </w:pPr>
          </w:p>
        </w:tc>
        <w:tc>
          <w:tcPr>
            <w:tcW w:w="1814"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020" w:type="dxa"/>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30299</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其他商品和服务支出</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46.56</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39907</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国家赔偿费用支出</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i w:val="0"/>
                <w:iCs w:val="0"/>
                <w:color w:val="000000"/>
                <w:sz w:val="18"/>
                <w:szCs w:val="18"/>
                <w:highlight w:val="none"/>
                <w:u w:val="none"/>
              </w:rPr>
            </w:pPr>
          </w:p>
        </w:tc>
        <w:tc>
          <w:tcPr>
            <w:tcW w:w="1814"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020"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814" w:type="dxa"/>
            <w:gridSpan w:val="2"/>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39908</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对民间非营利组织和群众性自治组织补贴</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i w:val="0"/>
                <w:iCs w:val="0"/>
                <w:color w:val="000000"/>
                <w:sz w:val="18"/>
                <w:szCs w:val="18"/>
                <w:highlight w:val="none"/>
                <w:u w:val="none"/>
              </w:rPr>
            </w:pPr>
          </w:p>
        </w:tc>
        <w:tc>
          <w:tcPr>
            <w:tcW w:w="1814"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020"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814" w:type="dxa"/>
            <w:gridSpan w:val="2"/>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39909</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经常性赠与</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i w:val="0"/>
                <w:iCs w:val="0"/>
                <w:color w:val="000000"/>
                <w:sz w:val="18"/>
                <w:szCs w:val="18"/>
                <w:highlight w:val="none"/>
                <w:u w:val="none"/>
              </w:rPr>
            </w:pPr>
          </w:p>
        </w:tc>
        <w:tc>
          <w:tcPr>
            <w:tcW w:w="1814"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020"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814" w:type="dxa"/>
            <w:gridSpan w:val="2"/>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39910</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资本性赠与</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i w:val="0"/>
                <w:iCs w:val="0"/>
                <w:color w:val="000000"/>
                <w:sz w:val="18"/>
                <w:szCs w:val="18"/>
                <w:highlight w:val="none"/>
                <w:u w:val="none"/>
              </w:rPr>
            </w:pPr>
          </w:p>
        </w:tc>
        <w:tc>
          <w:tcPr>
            <w:tcW w:w="1814"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020"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814" w:type="dxa"/>
            <w:gridSpan w:val="2"/>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39999</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其他支出</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277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18"/>
                <w:szCs w:val="18"/>
                <w:highlight w:val="none"/>
                <w:lang w:val="en-US" w:eastAsia="zh-CN"/>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人员经费合计</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sz w:val="18"/>
                <w:szCs w:val="18"/>
                <w:highlight w:val="none"/>
              </w:rPr>
            </w:pPr>
            <w:r>
              <w:rPr>
                <w:rFonts w:hint="default" w:ascii="Times New Roman" w:hAnsi="Times New Roman" w:cs="Times New Roman" w:eastAsiaTheme="minorEastAsia"/>
                <w:sz w:val="18"/>
                <w:szCs w:val="18"/>
                <w:highlight w:val="none"/>
              </w:rPr>
              <w:t>3,578.97</w:t>
            </w:r>
          </w:p>
        </w:tc>
        <w:tc>
          <w:tcPr>
            <w:tcW w:w="6520" w:type="dxa"/>
            <w:gridSpan w:val="7"/>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公用经费合计</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317.65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11338" w:type="dxa"/>
            <w:gridSpan w:val="11"/>
            <w:tcBorders>
              <w:top w:val="single" w:color="auto" w:sz="4" w:space="0"/>
              <w:left w:val="nil"/>
              <w:bottom w:val="nil"/>
              <w:right w:val="nil"/>
            </w:tcBorders>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注：本表反映部门本年度一般公共预算财政拨款基本支出明细情况。</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6"/>
        <w:tblW w:w="10480" w:type="dxa"/>
        <w:tblInd w:w="-140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60"/>
        <w:gridCol w:w="1474"/>
        <w:gridCol w:w="1306"/>
        <w:gridCol w:w="1027"/>
        <w:gridCol w:w="1107"/>
        <w:gridCol w:w="418"/>
        <w:gridCol w:w="702"/>
        <w:gridCol w:w="1146"/>
        <w:gridCol w:w="20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0" w:hRule="atLeast"/>
        </w:trPr>
        <w:tc>
          <w:tcPr>
            <w:tcW w:w="10480" w:type="dxa"/>
            <w:gridSpan w:val="9"/>
            <w:tcBorders>
              <w:top w:val="nil"/>
              <w:left w:val="nil"/>
              <w:bottom w:val="nil"/>
              <w:right w:val="nil"/>
            </w:tcBorders>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10480" w:type="dxa"/>
            <w:gridSpan w:val="9"/>
            <w:tcBorders>
              <w:top w:val="nil"/>
              <w:left w:val="nil"/>
              <w:bottom w:val="nil"/>
              <w:right w:val="nil"/>
            </w:tcBorders>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w:t>
            </w:r>
            <w:r>
              <w:rPr>
                <w:rFonts w:hint="default" w:ascii="Times New Roman" w:hAnsi="Times New Roman" w:eastAsia="宋体" w:cs="Times New Roman"/>
                <w:i w:val="0"/>
                <w:iCs w:val="0"/>
                <w:color w:val="000000"/>
                <w:kern w:val="0"/>
                <w:sz w:val="20"/>
                <w:szCs w:val="20"/>
                <w:highlight w:val="none"/>
                <w:u w:val="none"/>
                <w:lang w:val="en-US" w:eastAsia="zh-CN" w:bidi="ar"/>
              </w:rPr>
              <w:t>07</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4040" w:type="dxa"/>
            <w:gridSpan w:val="3"/>
            <w:tcBorders>
              <w:top w:val="nil"/>
              <w:left w:val="nil"/>
              <w:bottom w:val="single" w:color="auto" w:sz="4" w:space="0"/>
              <w:right w:val="nil"/>
            </w:tcBorders>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部门：石家庄市审计局 </w:t>
            </w: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2552" w:type="dxa"/>
            <w:gridSpan w:val="3"/>
            <w:tcBorders>
              <w:top w:val="nil"/>
              <w:left w:val="nil"/>
              <w:bottom w:val="single" w:color="auto" w:sz="4" w:space="0"/>
              <w:right w:val="nil"/>
            </w:tcBorders>
            <w:vAlign w:val="bottom"/>
          </w:tcPr>
          <w:p>
            <w:pPr>
              <w:keepNext w:val="0"/>
              <w:keepLines w:val="0"/>
              <w:widowControl/>
              <w:suppressLineNumbers w:val="0"/>
              <w:jc w:val="center"/>
              <w:textAlignment w:val="bottom"/>
              <w:rPr>
                <w:rFonts w:hint="default" w:ascii="宋体" w:hAnsi="宋体" w:eastAsia="宋体" w:cs="宋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202</w:t>
            </w:r>
            <w:r>
              <w:rPr>
                <w:rFonts w:hint="eastAsia" w:ascii="Times New Roman" w:hAnsi="Times New Roman" w:eastAsia="宋体" w:cs="Times New Roman"/>
                <w:i w:val="0"/>
                <w:iCs w:val="0"/>
                <w:color w:val="000000"/>
                <w:kern w:val="0"/>
                <w:sz w:val="20"/>
                <w:szCs w:val="20"/>
                <w:highlight w:val="none"/>
                <w:u w:val="none"/>
                <w:lang w:val="en-US" w:eastAsia="zh-CN" w:bidi="ar"/>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3888" w:type="dxa"/>
            <w:gridSpan w:val="3"/>
            <w:tcBorders>
              <w:top w:val="nil"/>
              <w:left w:val="nil"/>
              <w:bottom w:val="single" w:color="auto" w:sz="4" w:space="0"/>
              <w:right w:val="nil"/>
            </w:tcBorders>
            <w:vAlign w:val="bottom"/>
          </w:tcPr>
          <w:p>
            <w:pPr>
              <w:keepNext w:val="0"/>
              <w:keepLines w:val="0"/>
              <w:widowControl/>
              <w:suppressLineNumbers w:val="0"/>
              <w:jc w:val="right"/>
              <w:textAlignment w:val="bottom"/>
              <w:rPr>
                <w:rFonts w:hint="default" w:ascii="宋体" w:hAnsi="宋体" w:eastAsia="宋体" w:cs="宋体"/>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金额部门：万元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2734" w:type="dxa"/>
            <w:gridSpan w:val="2"/>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1306" w:type="dxa"/>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年初结转和结余</w:t>
            </w:r>
          </w:p>
        </w:tc>
        <w:tc>
          <w:tcPr>
            <w:tcW w:w="1027" w:type="dxa"/>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本年收入</w:t>
            </w:r>
          </w:p>
        </w:tc>
        <w:tc>
          <w:tcPr>
            <w:tcW w:w="3373" w:type="dxa"/>
            <w:gridSpan w:val="4"/>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本年支出</w:t>
            </w:r>
          </w:p>
        </w:tc>
        <w:tc>
          <w:tcPr>
            <w:tcW w:w="2040" w:type="dxa"/>
            <w:vMerge w:val="restart"/>
            <w:tcBorders>
              <w:top w:val="single" w:color="auto" w:sz="4" w:space="0"/>
              <w:left w:val="nil"/>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1260" w:type="dxa"/>
            <w:vMerge w:val="restart"/>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科目代码</w:t>
            </w:r>
          </w:p>
        </w:tc>
        <w:tc>
          <w:tcPr>
            <w:tcW w:w="1474" w:type="dxa"/>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科目名称</w:t>
            </w:r>
          </w:p>
        </w:tc>
        <w:tc>
          <w:tcPr>
            <w:tcW w:w="1306" w:type="dxa"/>
            <w:vMerge w:val="continue"/>
            <w:tcBorders>
              <w:top w:val="single" w:color="000000" w:sz="4" w:space="0"/>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02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07" w:type="dxa"/>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小计</w:t>
            </w:r>
          </w:p>
        </w:tc>
        <w:tc>
          <w:tcPr>
            <w:tcW w:w="1120" w:type="dxa"/>
            <w:gridSpan w:val="2"/>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基本支出</w:t>
            </w:r>
          </w:p>
        </w:tc>
        <w:tc>
          <w:tcPr>
            <w:tcW w:w="1146" w:type="dxa"/>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项目支出</w:t>
            </w:r>
          </w:p>
        </w:tc>
        <w:tc>
          <w:tcPr>
            <w:tcW w:w="2040" w:type="dxa"/>
            <w:vMerge w:val="continue"/>
            <w:tcBorders>
              <w:left w:val="nil"/>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合计</w:t>
            </w:r>
          </w:p>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结转</w:t>
            </w:r>
          </w:p>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1260" w:type="dxa"/>
            <w:vMerge w:val="continue"/>
            <w:tcBorders>
              <w:top w:val="nil"/>
              <w:left w:val="single" w:color="000000" w:sz="4" w:space="0"/>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474"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306" w:type="dxa"/>
            <w:vMerge w:val="continue"/>
            <w:tcBorders>
              <w:top w:val="single" w:color="000000" w:sz="4" w:space="0"/>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02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07"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20" w:type="dxa"/>
            <w:gridSpan w:val="2"/>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46"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2040" w:type="dxa"/>
            <w:vMerge w:val="continue"/>
            <w:tcBorders>
              <w:left w:val="nil"/>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1260" w:type="dxa"/>
            <w:vMerge w:val="continue"/>
            <w:tcBorders>
              <w:top w:val="nil"/>
              <w:left w:val="single" w:color="000000" w:sz="4" w:space="0"/>
              <w:bottom w:val="single" w:color="auto"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474" w:type="dxa"/>
            <w:vMerge w:val="continue"/>
            <w:tcBorders>
              <w:top w:val="nil"/>
              <w:left w:val="nil"/>
              <w:bottom w:val="single" w:color="auto"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306" w:type="dxa"/>
            <w:vMerge w:val="continue"/>
            <w:tcBorders>
              <w:top w:val="single" w:color="000000" w:sz="4" w:space="0"/>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02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07"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20" w:type="dxa"/>
            <w:gridSpan w:val="2"/>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46"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2040" w:type="dxa"/>
            <w:vMerge w:val="continue"/>
            <w:tcBorders>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273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1306" w:type="dxa"/>
            <w:tcBorders>
              <w:top w:val="nil"/>
              <w:left w:val="single" w:color="auto"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rPr>
            </w:pPr>
            <w:r>
              <w:rPr>
                <w:rFonts w:hint="default" w:ascii="Times New Roman" w:hAnsi="Times New Roman" w:eastAsia="方正仿宋_GB2312" w:cs="Times New Roman"/>
                <w:i w:val="0"/>
                <w:iCs w:val="0"/>
                <w:color w:val="000000"/>
                <w:kern w:val="0"/>
                <w:sz w:val="20"/>
                <w:szCs w:val="20"/>
                <w:highlight w:val="none"/>
                <w:u w:val="none"/>
                <w:lang w:val="en-US" w:eastAsia="zh-CN" w:bidi="ar"/>
              </w:rPr>
              <w:t>1</w:t>
            </w:r>
          </w:p>
        </w:tc>
        <w:tc>
          <w:tcPr>
            <w:tcW w:w="1027"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rPr>
            </w:pPr>
            <w:r>
              <w:rPr>
                <w:rFonts w:hint="default" w:ascii="Times New Roman" w:hAnsi="Times New Roman" w:eastAsia="方正仿宋_GB2312" w:cs="Times New Roman"/>
                <w:i w:val="0"/>
                <w:iCs w:val="0"/>
                <w:color w:val="000000"/>
                <w:kern w:val="0"/>
                <w:sz w:val="20"/>
                <w:szCs w:val="20"/>
                <w:highlight w:val="none"/>
                <w:u w:val="none"/>
                <w:lang w:val="en-US" w:eastAsia="zh-CN" w:bidi="ar"/>
              </w:rPr>
              <w:t>2</w:t>
            </w:r>
          </w:p>
        </w:tc>
        <w:tc>
          <w:tcPr>
            <w:tcW w:w="1107"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rPr>
            </w:pPr>
            <w:r>
              <w:rPr>
                <w:rFonts w:hint="default" w:ascii="Times New Roman" w:hAnsi="Times New Roman" w:eastAsia="方正仿宋_GB2312" w:cs="Times New Roman"/>
                <w:i w:val="0"/>
                <w:iCs w:val="0"/>
                <w:color w:val="000000"/>
                <w:kern w:val="0"/>
                <w:sz w:val="20"/>
                <w:szCs w:val="20"/>
                <w:highlight w:val="none"/>
                <w:u w:val="none"/>
                <w:lang w:val="en-US" w:eastAsia="zh-CN" w:bidi="ar"/>
              </w:rPr>
              <w:t>3</w:t>
            </w:r>
          </w:p>
        </w:tc>
        <w:tc>
          <w:tcPr>
            <w:tcW w:w="1120"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rPr>
            </w:pPr>
            <w:r>
              <w:rPr>
                <w:rFonts w:hint="default" w:ascii="Times New Roman" w:hAnsi="Times New Roman" w:eastAsia="方正仿宋_GB2312" w:cs="Times New Roman"/>
                <w:i w:val="0"/>
                <w:iCs w:val="0"/>
                <w:color w:val="000000"/>
                <w:kern w:val="0"/>
                <w:sz w:val="20"/>
                <w:szCs w:val="20"/>
                <w:highlight w:val="none"/>
                <w:u w:val="none"/>
                <w:lang w:val="en-US" w:eastAsia="zh-CN" w:bidi="ar"/>
              </w:rPr>
              <w:t>4</w:t>
            </w:r>
          </w:p>
        </w:tc>
        <w:tc>
          <w:tcPr>
            <w:tcW w:w="1146"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rPr>
            </w:pPr>
            <w:r>
              <w:rPr>
                <w:rFonts w:hint="default" w:ascii="Times New Roman" w:hAnsi="Times New Roman" w:eastAsia="方正仿宋_GB2312" w:cs="Times New Roman"/>
                <w:i w:val="0"/>
                <w:iCs w:val="0"/>
                <w:color w:val="000000"/>
                <w:kern w:val="0"/>
                <w:sz w:val="20"/>
                <w:szCs w:val="20"/>
                <w:highlight w:val="none"/>
                <w:u w:val="none"/>
                <w:lang w:val="en-US" w:eastAsia="zh-CN" w:bidi="ar"/>
              </w:rPr>
              <w:t>5</w:t>
            </w:r>
          </w:p>
        </w:tc>
        <w:tc>
          <w:tcPr>
            <w:tcW w:w="2040"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lang w:val="en-US" w:eastAsia="zh-CN"/>
              </w:rPr>
            </w:pPr>
            <w:r>
              <w:rPr>
                <w:rFonts w:hint="default" w:ascii="Times New Roman" w:hAnsi="Times New Roman" w:eastAsia="方正仿宋_GB2312" w:cs="Times New Roman"/>
                <w:i w:val="0"/>
                <w:iCs w:val="0"/>
                <w:color w:val="000000"/>
                <w:sz w:val="20"/>
                <w:szCs w:val="20"/>
                <w:highlight w:val="none"/>
                <w:u w:val="none"/>
                <w:lang w:val="en-US"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9" w:hRule="atLeast"/>
        </w:trPr>
        <w:tc>
          <w:tcPr>
            <w:tcW w:w="273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合计</w:t>
            </w:r>
          </w:p>
        </w:tc>
        <w:tc>
          <w:tcPr>
            <w:tcW w:w="1306" w:type="dxa"/>
            <w:tcBorders>
              <w:top w:val="nil"/>
              <w:left w:val="single" w:color="auto" w:sz="4" w:space="0"/>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0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0"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4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40"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0480" w:type="dxa"/>
            <w:gridSpan w:val="9"/>
            <w:tcBorders>
              <w:top w:val="nil"/>
              <w:left w:val="nil"/>
              <w:bottom w:val="nil"/>
              <w:right w:val="nil"/>
            </w:tcBorders>
            <w:vAlign w:val="center"/>
          </w:tcPr>
          <w:p>
            <w:pP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注：本表反映部门本年度政府性基金预算财政拨款收入、支出及结转和结余情况。（如无相关数据，则需注明空表列示）</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br w:type="page"/>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6"/>
        <w:tblW w:w="9428" w:type="dxa"/>
        <w:tblInd w:w="-9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993"/>
        <w:gridCol w:w="731"/>
        <w:gridCol w:w="1296"/>
        <w:gridCol w:w="1332"/>
        <w:gridCol w:w="5"/>
        <w:gridCol w:w="47"/>
        <w:gridCol w:w="1281"/>
        <w:gridCol w:w="10"/>
        <w:gridCol w:w="17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0" w:hRule="atLeast"/>
        </w:trPr>
        <w:tc>
          <w:tcPr>
            <w:tcW w:w="9428" w:type="dxa"/>
            <w:gridSpan w:val="9"/>
            <w:tcBorders>
              <w:top w:val="nil"/>
              <w:left w:val="nil"/>
              <w:bottom w:val="nil"/>
              <w:right w:val="nil"/>
            </w:tcBorders>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国有资本经营预算财政拨款支出决算表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9428" w:type="dxa"/>
            <w:gridSpan w:val="9"/>
            <w:tcBorders>
              <w:top w:val="nil"/>
              <w:left w:val="nil"/>
              <w:bottom w:val="nil"/>
              <w:right w:val="nil"/>
            </w:tcBorders>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w:t>
            </w:r>
            <w:r>
              <w:rPr>
                <w:rFonts w:hint="default" w:ascii="Times New Roman" w:hAnsi="Times New Roman" w:eastAsia="方正仿宋_GB2312" w:cs="Times New Roman"/>
                <w:i w:val="0"/>
                <w:iCs w:val="0"/>
                <w:color w:val="000000"/>
                <w:kern w:val="0"/>
                <w:sz w:val="20"/>
                <w:szCs w:val="20"/>
                <w:highlight w:val="none"/>
                <w:u w:val="none"/>
                <w:lang w:val="en-US" w:eastAsia="zh-CN" w:bidi="ar"/>
              </w:rPr>
              <w:t>08</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3724" w:type="dxa"/>
            <w:gridSpan w:val="2"/>
            <w:tcBorders>
              <w:top w:val="nil"/>
              <w:left w:val="nil"/>
              <w:bottom w:val="single" w:color="auto" w:sz="4" w:space="0"/>
              <w:right w:val="nil"/>
            </w:tcBorders>
            <w:vAlign w:val="bottom"/>
          </w:tcPr>
          <w:p>
            <w:pPr>
              <w:keepNext w:val="0"/>
              <w:keepLines w:val="0"/>
              <w:widowControl/>
              <w:suppressLineNumbers w:val="0"/>
              <w:jc w:val="both"/>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部门：石家庄市审计局</w:t>
            </w:r>
          </w:p>
        </w:tc>
        <w:tc>
          <w:tcPr>
            <w:tcW w:w="2680" w:type="dxa"/>
            <w:gridSpan w:val="4"/>
            <w:tcBorders>
              <w:top w:val="nil"/>
              <w:left w:val="nil"/>
              <w:bottom w:val="single" w:color="auto" w:sz="4" w:space="0"/>
              <w:right w:val="nil"/>
            </w:tcBorders>
            <w:vAlign w:val="bottom"/>
          </w:tcPr>
          <w:p>
            <w:pPr>
              <w:keepNext w:val="0"/>
              <w:keepLines w:val="0"/>
              <w:widowControl/>
              <w:suppressLineNumbers w:val="0"/>
              <w:jc w:val="center"/>
              <w:textAlignment w:val="bottom"/>
              <w:rPr>
                <w:rFonts w:hint="default" w:ascii="宋体" w:hAnsi="宋体" w:eastAsia="宋体" w:cs="宋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202</w:t>
            </w:r>
            <w:r>
              <w:rPr>
                <w:rFonts w:hint="eastAsia" w:ascii="Times New Roman" w:hAnsi="Times New Roman" w:eastAsia="宋体" w:cs="Times New Roman"/>
                <w:i w:val="0"/>
                <w:iCs w:val="0"/>
                <w:color w:val="000000"/>
                <w:kern w:val="0"/>
                <w:sz w:val="20"/>
                <w:szCs w:val="20"/>
                <w:highlight w:val="none"/>
                <w:u w:val="none"/>
                <w:lang w:val="en-US" w:eastAsia="zh-CN" w:bidi="ar"/>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3024" w:type="dxa"/>
            <w:gridSpan w:val="3"/>
            <w:tcBorders>
              <w:top w:val="nil"/>
              <w:left w:val="nil"/>
              <w:bottom w:val="single" w:color="auto" w:sz="4" w:space="0"/>
              <w:right w:val="nil"/>
            </w:tcBorders>
            <w:vAlign w:val="bottom"/>
          </w:tcPr>
          <w:p>
            <w:pPr>
              <w:keepNext w:val="0"/>
              <w:keepLines w:val="0"/>
              <w:widowControl/>
              <w:suppressLineNumbers w:val="0"/>
              <w:jc w:val="right"/>
              <w:textAlignment w:val="bottom"/>
              <w:rPr>
                <w:rFonts w:hint="default" w:ascii="宋体" w:hAnsi="宋体" w:eastAsia="宋体" w:cs="宋体"/>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金额部门：万元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5020" w:type="dxa"/>
            <w:gridSpan w:val="3"/>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 项目</w:t>
            </w:r>
          </w:p>
        </w:tc>
        <w:tc>
          <w:tcPr>
            <w:tcW w:w="4408" w:type="dxa"/>
            <w:gridSpan w:val="6"/>
            <w:vMerge w:val="restart"/>
            <w:tcBorders>
              <w:top w:val="single" w:color="auto" w:sz="4" w:space="0"/>
              <w:left w:val="single" w:color="auto" w:sz="4" w:space="0"/>
              <w:right w:val="single" w:color="000000" w:sz="4" w:space="0"/>
            </w:tcBorders>
            <w:vAlign w:val="center"/>
          </w:tcPr>
          <w:p>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5020"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c>
          <w:tcPr>
            <w:tcW w:w="4408" w:type="dxa"/>
            <w:gridSpan w:val="6"/>
            <w:vMerge w:val="continue"/>
            <w:tcBorders>
              <w:left w:val="single" w:color="auto"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299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科目代码</w:t>
            </w:r>
          </w:p>
        </w:tc>
        <w:tc>
          <w:tcPr>
            <w:tcW w:w="2027"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科目名称</w:t>
            </w:r>
          </w:p>
        </w:tc>
        <w:tc>
          <w:tcPr>
            <w:tcW w:w="1337" w:type="dxa"/>
            <w:gridSpan w:val="2"/>
            <w:vMerge w:val="restart"/>
            <w:tcBorders>
              <w:top w:val="nil"/>
              <w:left w:val="single" w:color="auto"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合计</w:t>
            </w:r>
          </w:p>
        </w:tc>
        <w:tc>
          <w:tcPr>
            <w:tcW w:w="1338" w:type="dxa"/>
            <w:gridSpan w:val="3"/>
            <w:vMerge w:val="restart"/>
            <w:tcBorders>
              <w:top w:val="nil"/>
              <w:left w:val="nil"/>
              <w:right w:val="single" w:color="000000" w:sz="4" w:space="0"/>
            </w:tcBorders>
            <w:vAlign w:val="center"/>
          </w:tcPr>
          <w:p>
            <w:pPr>
              <w:jc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基本支出</w:t>
            </w:r>
          </w:p>
        </w:tc>
        <w:tc>
          <w:tcPr>
            <w:tcW w:w="1733" w:type="dxa"/>
            <w:vMerge w:val="restart"/>
            <w:tcBorders>
              <w:top w:val="nil"/>
              <w:left w:val="nil"/>
              <w:right w:val="single" w:color="000000" w:sz="4" w:space="0"/>
            </w:tcBorders>
            <w:vAlign w:val="center"/>
          </w:tcPr>
          <w:p>
            <w:pPr>
              <w:jc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2993" w:type="dxa"/>
            <w:vMerge w:val="continue"/>
            <w:tcBorders>
              <w:top w:val="single" w:color="auto" w:sz="4" w:space="0"/>
              <w:left w:val="single" w:color="auto" w:sz="4" w:space="0"/>
              <w:bottom w:val="single" w:color="auto"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2027" w:type="dxa"/>
            <w:gridSpan w:val="2"/>
            <w:vMerge w:val="continue"/>
            <w:tcBorders>
              <w:top w:val="single" w:color="auto" w:sz="4" w:space="0"/>
              <w:left w:val="nil"/>
              <w:bottom w:val="single" w:color="auto" w:sz="4" w:space="0"/>
              <w:right w:val="single" w:color="auto"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337" w:type="dxa"/>
            <w:gridSpan w:val="2"/>
            <w:vMerge w:val="continue"/>
            <w:tcBorders>
              <w:left w:val="single" w:color="auto" w:sz="4" w:space="0"/>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338" w:type="dxa"/>
            <w:gridSpan w:val="3"/>
            <w:vMerge w:val="continue"/>
            <w:tcBorders>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733" w:type="dxa"/>
            <w:vMerge w:val="continue"/>
            <w:tcBorders>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5020" w:type="dxa"/>
            <w:gridSpan w:val="3"/>
            <w:tcBorders>
              <w:top w:val="single" w:color="auto" w:sz="4" w:space="0"/>
              <w:left w:val="single" w:color="auto" w:sz="4" w:space="0"/>
              <w:bottom w:val="single" w:color="000000" w:sz="4" w:space="0"/>
              <w:right w:val="single" w:color="auto" w:sz="4" w:space="0"/>
            </w:tcBorders>
            <w:vAlign w:val="center"/>
          </w:tcPr>
          <w:p>
            <w:pPr>
              <w:keepNext w:val="0"/>
              <w:keepLines w:val="0"/>
              <w:widowControl/>
              <w:suppressLineNumbers w:val="0"/>
              <w:jc w:val="center"/>
              <w:textAlignment w:val="center"/>
              <w:rPr>
                <w:rFonts w:hint="eastAsia" w:ascii="Times New Roman" w:hAnsi="Times New Roman" w:eastAsia="方正仿宋_GB2312" w:cs="Times New Roman"/>
                <w:i w:val="0"/>
                <w:iCs w:val="0"/>
                <w:color w:val="000000"/>
                <w:sz w:val="20"/>
                <w:szCs w:val="20"/>
                <w:highlight w:val="none"/>
                <w:u w:val="none"/>
                <w:lang w:val="en-US" w:eastAsia="zh-CN"/>
              </w:rPr>
            </w:pPr>
            <w:r>
              <w:rPr>
                <w:rFonts w:hint="eastAsia" w:ascii="Times New Roman" w:hAnsi="Times New Roman" w:eastAsia="方正仿宋_GB2312" w:cs="Times New Roman"/>
                <w:i w:val="0"/>
                <w:iCs w:val="0"/>
                <w:color w:val="000000"/>
                <w:sz w:val="20"/>
                <w:szCs w:val="20"/>
                <w:highlight w:val="none"/>
                <w:u w:val="none"/>
                <w:lang w:val="en-US" w:eastAsia="zh-CN"/>
              </w:rPr>
              <w:t>栏次</w:t>
            </w:r>
          </w:p>
        </w:tc>
        <w:tc>
          <w:tcPr>
            <w:tcW w:w="1332" w:type="dxa"/>
            <w:tcBorders>
              <w:top w:val="nil"/>
              <w:left w:val="single" w:color="auto"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Times New Roman" w:hAnsi="Times New Roman" w:eastAsia="方正仿宋_GB2312" w:cs="Times New Roman"/>
                <w:i w:val="0"/>
                <w:iCs w:val="0"/>
                <w:color w:val="000000"/>
                <w:sz w:val="20"/>
                <w:szCs w:val="20"/>
                <w:highlight w:val="none"/>
                <w:u w:val="none"/>
                <w:lang w:val="en-US" w:eastAsia="zh-CN"/>
              </w:rPr>
            </w:pPr>
            <w:r>
              <w:rPr>
                <w:rFonts w:hint="eastAsia" w:ascii="Times New Roman" w:hAnsi="Times New Roman" w:eastAsia="方正仿宋_GB2312" w:cs="Times New Roman"/>
                <w:i w:val="0"/>
                <w:iCs w:val="0"/>
                <w:color w:val="000000"/>
                <w:sz w:val="20"/>
                <w:szCs w:val="20"/>
                <w:highlight w:val="none"/>
                <w:u w:val="none"/>
                <w:lang w:val="en-US" w:eastAsia="zh-CN"/>
              </w:rPr>
              <w:t>1</w:t>
            </w:r>
          </w:p>
        </w:tc>
        <w:tc>
          <w:tcPr>
            <w:tcW w:w="1333" w:type="dxa"/>
            <w:gridSpan w:val="3"/>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Times New Roman" w:hAnsi="Times New Roman" w:eastAsia="方正仿宋_GB2312" w:cs="Times New Roman"/>
                <w:i w:val="0"/>
                <w:iCs w:val="0"/>
                <w:color w:val="000000"/>
                <w:sz w:val="20"/>
                <w:szCs w:val="20"/>
                <w:highlight w:val="none"/>
                <w:u w:val="none"/>
                <w:lang w:val="en-US" w:eastAsia="zh-CN"/>
              </w:rPr>
            </w:pPr>
            <w:r>
              <w:rPr>
                <w:rFonts w:hint="eastAsia" w:ascii="Times New Roman" w:hAnsi="Times New Roman" w:eastAsia="方正仿宋_GB2312" w:cs="Times New Roman"/>
                <w:i w:val="0"/>
                <w:iCs w:val="0"/>
                <w:color w:val="000000"/>
                <w:sz w:val="20"/>
                <w:szCs w:val="20"/>
                <w:highlight w:val="none"/>
                <w:u w:val="none"/>
                <w:lang w:val="en-US" w:eastAsia="zh-CN"/>
              </w:rPr>
              <w:t>2</w:t>
            </w:r>
          </w:p>
        </w:tc>
        <w:tc>
          <w:tcPr>
            <w:tcW w:w="1743"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Times New Roman" w:hAnsi="Times New Roman" w:eastAsia="方正仿宋_GB2312" w:cs="Times New Roman"/>
                <w:i w:val="0"/>
                <w:iCs w:val="0"/>
                <w:color w:val="000000"/>
                <w:sz w:val="20"/>
                <w:szCs w:val="20"/>
                <w:highlight w:val="none"/>
                <w:u w:val="none"/>
                <w:lang w:val="en-US" w:eastAsia="zh-CN"/>
              </w:rPr>
            </w:pPr>
            <w:r>
              <w:rPr>
                <w:rFonts w:hint="eastAsia" w:ascii="Times New Roman" w:hAnsi="Times New Roman" w:eastAsia="方正仿宋_GB2312" w:cs="Times New Roman"/>
                <w:i w:val="0"/>
                <w:iCs w:val="0"/>
                <w:color w:val="000000"/>
                <w:sz w:val="20"/>
                <w:szCs w:val="20"/>
                <w:highlight w:val="none"/>
                <w:u w:val="none"/>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502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iCs w:val="0"/>
                <w:color w:val="000000"/>
                <w:sz w:val="20"/>
                <w:szCs w:val="20"/>
                <w:highlight w:val="none"/>
                <w:u w:val="none"/>
                <w:lang w:val="en-US" w:eastAsia="zh-CN"/>
              </w:rPr>
            </w:pPr>
            <w:r>
              <w:rPr>
                <w:rFonts w:hint="eastAsia" w:ascii="Times New Roman" w:hAnsi="Times New Roman" w:eastAsia="方正仿宋_GB2312" w:cs="Times New Roman"/>
                <w:i w:val="0"/>
                <w:iCs w:val="0"/>
                <w:color w:val="000000"/>
                <w:sz w:val="20"/>
                <w:szCs w:val="20"/>
                <w:highlight w:val="none"/>
                <w:u w:val="none"/>
                <w:lang w:val="en-US" w:eastAsia="zh-CN"/>
              </w:rPr>
              <w:t>合计</w:t>
            </w:r>
          </w:p>
        </w:tc>
        <w:tc>
          <w:tcPr>
            <w:tcW w:w="1332"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333" w:type="dxa"/>
            <w:gridSpan w:val="3"/>
            <w:tcBorders>
              <w:top w:val="single" w:color="000000" w:sz="4" w:space="0"/>
              <w:left w:val="single" w:color="000000" w:sz="4" w:space="0"/>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743" w:type="dxa"/>
            <w:gridSpan w:val="2"/>
            <w:tcBorders>
              <w:top w:val="single" w:color="000000" w:sz="4" w:space="0"/>
              <w:left w:val="single" w:color="000000" w:sz="4" w:space="0"/>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9428" w:type="dxa"/>
            <w:gridSpan w:val="9"/>
            <w:tcBorders>
              <w:top w:val="nil"/>
              <w:left w:val="nil"/>
              <w:bottom w:val="nil"/>
              <w:right w:val="nil"/>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注：本表反映部门本年度国有资本经营预算财政拨款支出情况。（如无相关数据，则需注明空表列示）</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6"/>
        <w:tblpPr w:leftFromText="180" w:rightFromText="180" w:vertAnchor="text" w:horzAnchor="page" w:tblpX="282" w:tblpY="39"/>
        <w:tblOverlap w:val="never"/>
        <w:tblW w:w="115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87"/>
        <w:gridCol w:w="1226"/>
        <w:gridCol w:w="814"/>
        <w:gridCol w:w="946"/>
        <w:gridCol w:w="519"/>
        <w:gridCol w:w="544"/>
        <w:gridCol w:w="777"/>
        <w:gridCol w:w="845"/>
        <w:gridCol w:w="5"/>
        <w:gridCol w:w="1133"/>
        <w:gridCol w:w="640"/>
        <w:gridCol w:w="1027"/>
        <w:gridCol w:w="946"/>
        <w:gridCol w:w="11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0" w:hRule="atLeast"/>
        </w:trPr>
        <w:tc>
          <w:tcPr>
            <w:tcW w:w="11596" w:type="dxa"/>
            <w:gridSpan w:val="14"/>
            <w:tcBorders>
              <w:top w:val="nil"/>
              <w:left w:val="nil"/>
              <w:bottom w:val="nil"/>
              <w:right w:val="nil"/>
            </w:tcBorders>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60" w:hRule="atLeast"/>
        </w:trPr>
        <w:tc>
          <w:tcPr>
            <w:tcW w:w="11596" w:type="dxa"/>
            <w:gridSpan w:val="14"/>
            <w:tcBorders>
              <w:top w:val="nil"/>
              <w:left w:val="nil"/>
              <w:bottom w:val="nil"/>
              <w:right w:val="nil"/>
            </w:tcBorders>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公开</w:t>
            </w:r>
            <w:r>
              <w:rPr>
                <w:rFonts w:hint="default" w:ascii="Times New Roman" w:hAnsi="Times New Roman" w:eastAsia="方正仿宋_GB2312" w:cs="Times New Roman"/>
                <w:i w:val="0"/>
                <w:iCs w:val="0"/>
                <w:color w:val="000000"/>
                <w:kern w:val="0"/>
                <w:sz w:val="18"/>
                <w:szCs w:val="18"/>
                <w:highlight w:val="none"/>
                <w:u w:val="none"/>
                <w:lang w:val="en-US" w:eastAsia="zh-CN" w:bidi="ar"/>
              </w:rPr>
              <w:t>09</w:t>
            </w: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60" w:hRule="atLeast"/>
        </w:trPr>
        <w:tc>
          <w:tcPr>
            <w:tcW w:w="4492" w:type="dxa"/>
            <w:gridSpan w:val="5"/>
            <w:tcBorders>
              <w:top w:val="nil"/>
              <w:left w:val="nil"/>
              <w:bottom w:val="single" w:color="auto" w:sz="4" w:space="0"/>
              <w:right w:val="nil"/>
            </w:tcBorders>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部门：石家庄市审计局</w:t>
            </w:r>
          </w:p>
        </w:tc>
        <w:tc>
          <w:tcPr>
            <w:tcW w:w="2166" w:type="dxa"/>
            <w:gridSpan w:val="3"/>
            <w:tcBorders>
              <w:top w:val="nil"/>
              <w:left w:val="nil"/>
              <w:bottom w:val="single" w:color="auto" w:sz="4" w:space="0"/>
              <w:right w:val="nil"/>
            </w:tcBorders>
            <w:vAlign w:val="bottom"/>
          </w:tcPr>
          <w:p>
            <w:pPr>
              <w:keepNext w:val="0"/>
              <w:keepLines w:val="0"/>
              <w:widowControl/>
              <w:suppressLineNumbers w:val="0"/>
              <w:jc w:val="center"/>
              <w:textAlignment w:val="bottom"/>
              <w:rPr>
                <w:rFonts w:hint="default" w:ascii="宋体" w:hAnsi="宋体" w:eastAsia="宋体" w:cs="宋体"/>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202</w:t>
            </w:r>
            <w:r>
              <w:rPr>
                <w:rFonts w:hint="eastAsia" w:ascii="Times New Roman" w:hAnsi="Times New Roman" w:eastAsia="宋体" w:cs="Times New Roman"/>
                <w:i w:val="0"/>
                <w:iCs w:val="0"/>
                <w:color w:val="000000"/>
                <w:kern w:val="0"/>
                <w:sz w:val="18"/>
                <w:szCs w:val="18"/>
                <w:highlight w:val="none"/>
                <w:u w:val="none"/>
                <w:lang w:val="en-US" w:eastAsia="zh-CN" w:bidi="ar"/>
              </w:rPr>
              <w:t>4</w:t>
            </w: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年度</w:t>
            </w:r>
          </w:p>
        </w:tc>
        <w:tc>
          <w:tcPr>
            <w:tcW w:w="4938" w:type="dxa"/>
            <w:gridSpan w:val="6"/>
            <w:tcBorders>
              <w:top w:val="nil"/>
              <w:left w:val="nil"/>
              <w:bottom w:val="single" w:color="auto" w:sz="4" w:space="0"/>
              <w:right w:val="nil"/>
            </w:tcBorders>
            <w:vAlign w:val="bottom"/>
          </w:tcPr>
          <w:p>
            <w:pPr>
              <w:keepNext w:val="0"/>
              <w:keepLines w:val="0"/>
              <w:widowControl/>
              <w:suppressLineNumbers w:val="0"/>
              <w:jc w:val="right"/>
              <w:textAlignment w:val="bottom"/>
              <w:rPr>
                <w:rFonts w:hint="default" w:ascii="宋体" w:hAnsi="宋体" w:eastAsia="宋体" w:cs="宋体"/>
                <w:i w:val="0"/>
                <w:iCs w:val="0"/>
                <w:color w:val="000000"/>
                <w:kern w:val="0"/>
                <w:sz w:val="18"/>
                <w:szCs w:val="18"/>
                <w:highlight w:val="none"/>
                <w:u w:val="none"/>
                <w:lang w:val="en-US" w:eastAsia="zh-CN" w:bidi="ar"/>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金额部门：万元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1" w:hRule="atLeast"/>
        </w:trPr>
        <w:tc>
          <w:tcPr>
            <w:tcW w:w="5813" w:type="dxa"/>
            <w:gridSpan w:val="7"/>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预算数</w:t>
            </w:r>
          </w:p>
        </w:tc>
        <w:tc>
          <w:tcPr>
            <w:tcW w:w="5783" w:type="dxa"/>
            <w:gridSpan w:val="7"/>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1" w:hRule="atLeast"/>
        </w:trPr>
        <w:tc>
          <w:tcPr>
            <w:tcW w:w="987" w:type="dxa"/>
            <w:vMerge w:val="restart"/>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合计</w:t>
            </w:r>
          </w:p>
        </w:tc>
        <w:tc>
          <w:tcPr>
            <w:tcW w:w="1226" w:type="dxa"/>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因公出国（境）费</w:t>
            </w:r>
          </w:p>
        </w:tc>
        <w:tc>
          <w:tcPr>
            <w:tcW w:w="2823" w:type="dxa"/>
            <w:gridSpan w:val="4"/>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公务用车购置及运行维护费</w:t>
            </w:r>
          </w:p>
        </w:tc>
        <w:tc>
          <w:tcPr>
            <w:tcW w:w="777" w:type="dxa"/>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公务接待费</w:t>
            </w:r>
          </w:p>
        </w:tc>
        <w:tc>
          <w:tcPr>
            <w:tcW w:w="850" w:type="dxa"/>
            <w:gridSpan w:val="2"/>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合计</w:t>
            </w:r>
          </w:p>
        </w:tc>
        <w:tc>
          <w:tcPr>
            <w:tcW w:w="1133" w:type="dxa"/>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因公出国（境）费</w:t>
            </w:r>
          </w:p>
        </w:tc>
        <w:tc>
          <w:tcPr>
            <w:tcW w:w="2613" w:type="dxa"/>
            <w:gridSpan w:val="3"/>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公务用车购置及运行维护费</w:t>
            </w:r>
          </w:p>
        </w:tc>
        <w:tc>
          <w:tcPr>
            <w:tcW w:w="1187" w:type="dxa"/>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1" w:hRule="atLeast"/>
        </w:trPr>
        <w:tc>
          <w:tcPr>
            <w:tcW w:w="987" w:type="dxa"/>
            <w:vMerge w:val="continue"/>
            <w:tcBorders>
              <w:top w:val="nil"/>
              <w:left w:val="single" w:color="000000" w:sz="4" w:space="0"/>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18"/>
                <w:szCs w:val="18"/>
                <w:highlight w:val="none"/>
                <w:u w:val="none"/>
              </w:rPr>
            </w:pPr>
          </w:p>
        </w:tc>
        <w:tc>
          <w:tcPr>
            <w:tcW w:w="1226"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18"/>
                <w:szCs w:val="18"/>
                <w:highlight w:val="none"/>
                <w:u w:val="none"/>
              </w:rPr>
            </w:pPr>
          </w:p>
        </w:tc>
        <w:tc>
          <w:tcPr>
            <w:tcW w:w="81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小计</w:t>
            </w:r>
          </w:p>
        </w:tc>
        <w:tc>
          <w:tcPr>
            <w:tcW w:w="946"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公务用车购置费</w:t>
            </w:r>
          </w:p>
        </w:tc>
        <w:tc>
          <w:tcPr>
            <w:tcW w:w="1063"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公务用车运行维护费</w:t>
            </w:r>
          </w:p>
        </w:tc>
        <w:tc>
          <w:tcPr>
            <w:tcW w:w="777"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18"/>
                <w:szCs w:val="18"/>
                <w:highlight w:val="none"/>
                <w:u w:val="none"/>
              </w:rPr>
            </w:pPr>
          </w:p>
        </w:tc>
        <w:tc>
          <w:tcPr>
            <w:tcW w:w="850" w:type="dxa"/>
            <w:gridSpan w:val="2"/>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18"/>
                <w:szCs w:val="18"/>
                <w:highlight w:val="none"/>
                <w:u w:val="none"/>
              </w:rPr>
            </w:pPr>
          </w:p>
        </w:tc>
        <w:tc>
          <w:tcPr>
            <w:tcW w:w="1133"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18"/>
                <w:szCs w:val="18"/>
                <w:highlight w:val="none"/>
                <w:u w:val="none"/>
              </w:rPr>
            </w:pPr>
          </w:p>
        </w:tc>
        <w:tc>
          <w:tcPr>
            <w:tcW w:w="640"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小计</w:t>
            </w:r>
          </w:p>
        </w:tc>
        <w:tc>
          <w:tcPr>
            <w:tcW w:w="1027"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公务用车购置费</w:t>
            </w:r>
          </w:p>
        </w:tc>
        <w:tc>
          <w:tcPr>
            <w:tcW w:w="946"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公务用车运行维护费</w:t>
            </w:r>
          </w:p>
        </w:tc>
        <w:tc>
          <w:tcPr>
            <w:tcW w:w="1187"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1" w:hRule="atLeast"/>
        </w:trPr>
        <w:tc>
          <w:tcPr>
            <w:tcW w:w="987"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1</w:t>
            </w:r>
          </w:p>
        </w:tc>
        <w:tc>
          <w:tcPr>
            <w:tcW w:w="1226"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2</w:t>
            </w:r>
          </w:p>
        </w:tc>
        <w:tc>
          <w:tcPr>
            <w:tcW w:w="81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3</w:t>
            </w:r>
          </w:p>
        </w:tc>
        <w:tc>
          <w:tcPr>
            <w:tcW w:w="946"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4</w:t>
            </w:r>
          </w:p>
        </w:tc>
        <w:tc>
          <w:tcPr>
            <w:tcW w:w="1063"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5</w:t>
            </w:r>
          </w:p>
        </w:tc>
        <w:tc>
          <w:tcPr>
            <w:tcW w:w="777"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6</w:t>
            </w:r>
          </w:p>
        </w:tc>
        <w:tc>
          <w:tcPr>
            <w:tcW w:w="850"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7</w:t>
            </w:r>
          </w:p>
        </w:tc>
        <w:tc>
          <w:tcPr>
            <w:tcW w:w="1133"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8</w:t>
            </w:r>
          </w:p>
        </w:tc>
        <w:tc>
          <w:tcPr>
            <w:tcW w:w="640"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9</w:t>
            </w:r>
          </w:p>
        </w:tc>
        <w:tc>
          <w:tcPr>
            <w:tcW w:w="1027"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10</w:t>
            </w:r>
          </w:p>
        </w:tc>
        <w:tc>
          <w:tcPr>
            <w:tcW w:w="946"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11</w:t>
            </w:r>
          </w:p>
        </w:tc>
        <w:tc>
          <w:tcPr>
            <w:tcW w:w="1187"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1" w:hRule="atLeast"/>
        </w:trPr>
        <w:tc>
          <w:tcPr>
            <w:tcW w:w="987" w:type="dxa"/>
            <w:tcBorders>
              <w:top w:val="nil"/>
              <w:left w:val="single" w:color="000000" w:sz="4" w:space="0"/>
              <w:bottom w:val="single" w:color="000000" w:sz="4" w:space="0"/>
              <w:right w:val="single" w:color="000000" w:sz="4" w:space="0"/>
            </w:tcBorders>
            <w:vAlign w:val="center"/>
          </w:tcPr>
          <w:p>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8.20</w:t>
            </w:r>
          </w:p>
        </w:tc>
        <w:tc>
          <w:tcPr>
            <w:tcW w:w="1226" w:type="dxa"/>
            <w:tcBorders>
              <w:top w:val="nil"/>
              <w:left w:val="nil"/>
              <w:bottom w:val="single" w:color="000000" w:sz="4" w:space="0"/>
              <w:right w:val="single" w:color="000000" w:sz="4" w:space="0"/>
            </w:tcBorders>
            <w:vAlign w:val="center"/>
          </w:tcPr>
          <w:p>
            <w:pPr>
              <w:jc w:val="right"/>
              <w:rPr>
                <w:rFonts w:hint="default" w:ascii="Times New Roman" w:hAnsi="Times New Roman" w:eastAsia="方正仿宋_GB2312" w:cs="Times New Roman"/>
                <w:i w:val="0"/>
                <w:iCs w:val="0"/>
                <w:color w:val="000000"/>
                <w:sz w:val="18"/>
                <w:szCs w:val="18"/>
                <w:highlight w:val="none"/>
                <w:u w:val="none"/>
              </w:rPr>
            </w:pPr>
          </w:p>
        </w:tc>
        <w:tc>
          <w:tcPr>
            <w:tcW w:w="814" w:type="dxa"/>
            <w:tcBorders>
              <w:top w:val="nil"/>
              <w:left w:val="nil"/>
              <w:bottom w:val="single" w:color="000000" w:sz="4" w:space="0"/>
              <w:right w:val="single" w:color="000000" w:sz="4" w:space="0"/>
            </w:tcBorders>
            <w:vAlign w:val="center"/>
          </w:tcPr>
          <w:p>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7.00</w:t>
            </w:r>
          </w:p>
        </w:tc>
        <w:tc>
          <w:tcPr>
            <w:tcW w:w="946" w:type="dxa"/>
            <w:tcBorders>
              <w:top w:val="nil"/>
              <w:left w:val="nil"/>
              <w:bottom w:val="single" w:color="000000" w:sz="4" w:space="0"/>
              <w:right w:val="single" w:color="000000" w:sz="4" w:space="0"/>
            </w:tcBorders>
            <w:vAlign w:val="center"/>
          </w:tcPr>
          <w:p>
            <w:pPr>
              <w:jc w:val="right"/>
              <w:rPr>
                <w:rFonts w:hint="default" w:ascii="Times New Roman" w:hAnsi="Times New Roman" w:eastAsia="方正仿宋_GB2312" w:cs="Times New Roman"/>
                <w:i w:val="0"/>
                <w:iCs w:val="0"/>
                <w:color w:val="000000"/>
                <w:sz w:val="18"/>
                <w:szCs w:val="18"/>
                <w:highlight w:val="none"/>
                <w:u w:val="none"/>
              </w:rPr>
            </w:pPr>
          </w:p>
        </w:tc>
        <w:tc>
          <w:tcPr>
            <w:tcW w:w="1063"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7.00</w:t>
            </w:r>
          </w:p>
        </w:tc>
        <w:tc>
          <w:tcPr>
            <w:tcW w:w="777" w:type="dxa"/>
            <w:tcBorders>
              <w:top w:val="nil"/>
              <w:left w:val="nil"/>
              <w:bottom w:val="single" w:color="000000" w:sz="4" w:space="0"/>
              <w:right w:val="single" w:color="000000" w:sz="4" w:space="0"/>
            </w:tcBorders>
            <w:vAlign w:val="center"/>
          </w:tcPr>
          <w:p>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1.20</w:t>
            </w:r>
          </w:p>
        </w:tc>
        <w:tc>
          <w:tcPr>
            <w:tcW w:w="850"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2.52</w:t>
            </w:r>
          </w:p>
        </w:tc>
        <w:tc>
          <w:tcPr>
            <w:tcW w:w="1133" w:type="dxa"/>
            <w:tcBorders>
              <w:top w:val="nil"/>
              <w:left w:val="nil"/>
              <w:bottom w:val="single" w:color="000000" w:sz="4" w:space="0"/>
              <w:right w:val="single" w:color="000000" w:sz="4" w:space="0"/>
            </w:tcBorders>
            <w:vAlign w:val="center"/>
          </w:tcPr>
          <w:p>
            <w:pPr>
              <w:jc w:val="right"/>
              <w:rPr>
                <w:rFonts w:hint="default" w:ascii="Times New Roman" w:hAnsi="Times New Roman" w:eastAsia="方正仿宋_GB2312" w:cs="Times New Roman"/>
                <w:i w:val="0"/>
                <w:iCs w:val="0"/>
                <w:color w:val="000000"/>
                <w:sz w:val="18"/>
                <w:szCs w:val="18"/>
                <w:highlight w:val="none"/>
                <w:u w:val="none"/>
              </w:rPr>
            </w:pPr>
          </w:p>
        </w:tc>
        <w:tc>
          <w:tcPr>
            <w:tcW w:w="640" w:type="dxa"/>
            <w:tcBorders>
              <w:top w:val="nil"/>
              <w:left w:val="nil"/>
              <w:bottom w:val="single" w:color="000000" w:sz="4" w:space="0"/>
              <w:right w:val="single" w:color="000000" w:sz="4" w:space="0"/>
            </w:tcBorders>
            <w:vAlign w:val="center"/>
          </w:tcPr>
          <w:p>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2.36</w:t>
            </w: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方正仿宋_GB2312" w:cs="Times New Roman"/>
                <w:i w:val="0"/>
                <w:iCs w:val="0"/>
                <w:color w:val="000000"/>
                <w:sz w:val="18"/>
                <w:szCs w:val="18"/>
                <w:highlight w:val="none"/>
                <w:u w:val="none"/>
              </w:rPr>
            </w:pPr>
          </w:p>
        </w:tc>
        <w:tc>
          <w:tcPr>
            <w:tcW w:w="946" w:type="dxa"/>
            <w:tcBorders>
              <w:top w:val="nil"/>
              <w:left w:val="nil"/>
              <w:bottom w:val="single" w:color="000000" w:sz="4" w:space="0"/>
              <w:right w:val="single" w:color="000000" w:sz="4" w:space="0"/>
            </w:tcBorders>
            <w:vAlign w:val="center"/>
          </w:tcPr>
          <w:p>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2.36</w:t>
            </w:r>
          </w:p>
        </w:tc>
        <w:tc>
          <w:tcPr>
            <w:tcW w:w="1187" w:type="dxa"/>
            <w:tcBorders>
              <w:top w:val="nil"/>
              <w:left w:val="nil"/>
              <w:bottom w:val="single" w:color="000000" w:sz="4" w:space="0"/>
              <w:right w:val="single" w:color="000000" w:sz="4" w:space="0"/>
            </w:tcBorders>
            <w:vAlign w:val="center"/>
          </w:tcPr>
          <w:p>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1" w:hRule="atLeast"/>
        </w:trPr>
        <w:tc>
          <w:tcPr>
            <w:tcW w:w="11596" w:type="dxa"/>
            <w:gridSpan w:val="14"/>
            <w:tcBorders>
              <w:top w:val="nil"/>
              <w:left w:val="nil"/>
              <w:bottom w:val="nil"/>
              <w:right w:val="nil"/>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jc w:val="center"/>
        <w:rPr>
          <w:rFonts w:ascii="Times New Roman" w:eastAsia="黑体"/>
          <w:sz w:val="44"/>
          <w:szCs w:val="44"/>
        </w:rPr>
      </w:pPr>
      <w:r>
        <w:rPr>
          <w:rFonts w:hint="eastAsia" w:ascii="仿宋_GB2312" w:hAnsi="宋体" w:eastAsia="仿宋_GB2312"/>
          <w:b/>
          <w:color w:val="auto"/>
          <w:kern w:val="0"/>
          <w:sz w:val="32"/>
          <w:szCs w:val="32"/>
          <w:highlight w:val="none"/>
        </w:rPr>
        <w:br w:type="page"/>
      </w:r>
      <w:r>
        <w:rPr>
          <w:rFonts w:ascii="Times New Roman" w:eastAsia="黑体"/>
          <w:b w:val="0"/>
          <w:sz w:val="44"/>
          <w:szCs w:val="44"/>
        </w:rPr>
        <w:t>第三部分</w:t>
      </w:r>
      <w:r>
        <w:rPr>
          <w:rFonts w:ascii="Times New Roman" w:eastAsia="仿宋_GB2312"/>
          <w:b w:val="0"/>
          <w:sz w:val="44"/>
          <w:szCs w:val="44"/>
        </w:rPr>
        <w:t>2024</w:t>
      </w:r>
      <w:r>
        <w:rPr>
          <w:rFonts w:ascii="Times New Roman" w:eastAsia="黑体"/>
          <w:b w:val="0"/>
          <w:sz w:val="44"/>
          <w:szCs w:val="44"/>
        </w:rPr>
        <w:t>年度部门决算情况说明</w:t>
      </w:r>
    </w:p>
    <w:p>
      <w:pPr>
        <w:widowControl/>
        <w:spacing w:before="0" w:beforeLines="0" w:beforeAutospacing="0" w:after="0" w:afterLines="0" w:afterAutospacing="0" w:line="360" w:lineRule="auto"/>
        <w:jc w:val="left"/>
        <w:outlineLvl w:val="1"/>
        <w:rPr>
          <w:rFonts w:ascii="Times New Roman" w:eastAsia="黑体"/>
          <w:sz w:val="32"/>
          <w:szCs w:val="32"/>
        </w:rPr>
      </w:pPr>
      <w:r>
        <w:rPr>
          <w:rFonts w:ascii="Times New Roman" w:eastAsia="黑体"/>
          <w:b w:val="0"/>
          <w:sz w:val="32"/>
          <w:szCs w:val="32"/>
        </w:rPr>
        <w:t>一、收入支出决算总体情况说明</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Times New Roman" w:eastAsia="仿宋_GB2312"/>
          <w:sz w:val="32"/>
          <w:szCs w:val="32"/>
        </w:rPr>
      </w:pPr>
      <w:r>
        <w:rPr>
          <w:rFonts w:ascii="Times New Roman" w:eastAsia="仿宋_GB2312"/>
          <w:b w:val="0"/>
          <w:sz w:val="32"/>
          <w:szCs w:val="32"/>
        </w:rPr>
        <w:t>本</w:t>
      </w:r>
      <w:r>
        <w:rPr>
          <w:rFonts w:hint="eastAsia" w:ascii="Times New Roman" w:eastAsia="仿宋_GB2312"/>
          <w:b w:val="0"/>
          <w:sz w:val="32"/>
          <w:szCs w:val="32"/>
          <w:lang w:eastAsia="zh-CN"/>
        </w:rPr>
        <w:t>部门</w:t>
      </w:r>
      <w:r>
        <w:rPr>
          <w:rFonts w:ascii="Times New Roman" w:eastAsia="仿宋_GB2312"/>
          <w:b w:val="0"/>
          <w:sz w:val="32"/>
          <w:szCs w:val="32"/>
        </w:rPr>
        <w:t>2024年度收、支总计（含结转和结余）均为5,103.64万元。与2023年度决算相比，收支各减少756.90万元，下降12.9%，主要原因是</w:t>
      </w:r>
      <w:r>
        <w:rPr>
          <w:rFonts w:hint="eastAsia" w:ascii="Times New Roman" w:eastAsia="仿宋_GB2312"/>
          <w:b w:val="0"/>
          <w:sz w:val="32"/>
          <w:szCs w:val="32"/>
          <w:lang w:eastAsia="zh-CN"/>
        </w:rPr>
        <w:t>人员变化人员经费支出减少和</w:t>
      </w:r>
      <w:r>
        <w:rPr>
          <w:rFonts w:hint="eastAsia" w:ascii="FangSong_GB2312" w:hAnsi="FangSong_GB2312" w:eastAsia="FangSong_GB2312"/>
          <w:sz w:val="32"/>
        </w:rPr>
        <w:t>专项资金支出减少，相应调减了预算收入</w:t>
      </w:r>
      <w:r>
        <w:rPr>
          <w:rFonts w:ascii="Times New Roman" w:eastAsia="仿宋_GB2312"/>
          <w:b w:val="0"/>
          <w:sz w:val="32"/>
          <w:szCs w:val="32"/>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eastAsia="Arial" w:cs="Times New Roman"/>
          <w:highlight w:val="none"/>
        </w:rPr>
      </w:pPr>
      <w:r>
        <w:rPr>
          <w:rFonts w:hint="eastAsia" w:ascii="Times New Roman" w:hAnsi="Times New Roman" w:eastAsia="宋体"/>
        </w:rPr>
        <w:drawing>
          <wp:inline distT="0" distB="0" distL="114300" distR="114300">
            <wp:extent cx="5256530" cy="2988310"/>
            <wp:effectExtent l="5080" t="4445" r="8890" b="1714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Pr>
          <w:rFonts w:hint="default" w:ascii="Times New Roman" w:hAnsi="Times New Roman" w:eastAsia="Arial" w:cs="Times New Roman"/>
          <w:i w:val="0"/>
          <w:iCs w:val="0"/>
          <w:caps w:val="0"/>
          <w:color w:val="000000"/>
          <w:spacing w:val="0"/>
          <w:sz w:val="18"/>
          <w:szCs w:val="18"/>
          <w:highlight w:val="none"/>
          <w:shd w:val="clear" w:fill="FFFFFF"/>
        </w:rPr>
        <w:t> </w:t>
      </w:r>
    </w:p>
    <w:p>
      <w:pPr>
        <w:widowControl/>
        <w:spacing w:before="0" w:beforeLines="0" w:beforeAutospacing="0" w:after="0" w:afterLines="0" w:afterAutospacing="0" w:line="360" w:lineRule="auto"/>
        <w:jc w:val="left"/>
        <w:outlineLvl w:val="1"/>
        <w:rPr>
          <w:rFonts w:ascii="Times New Roman" w:eastAsia="黑体"/>
          <w:sz w:val="32"/>
          <w:szCs w:val="32"/>
        </w:rPr>
      </w:pPr>
      <w:r>
        <w:rPr>
          <w:rFonts w:ascii="Times New Roman" w:eastAsia="黑体"/>
          <w:b w:val="0"/>
          <w:sz w:val="32"/>
          <w:szCs w:val="32"/>
        </w:rPr>
        <w:t>二、收入决算情况说明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本</w:t>
      </w:r>
      <w:r>
        <w:rPr>
          <w:rFonts w:hint="eastAsia" w:ascii="Times New Roman" w:eastAsia="仿宋_GB2312"/>
          <w:b w:val="0"/>
          <w:sz w:val="32"/>
          <w:szCs w:val="32"/>
          <w:lang w:eastAsia="zh-CN"/>
        </w:rPr>
        <w:t>部门</w:t>
      </w:r>
      <w:r>
        <w:rPr>
          <w:rFonts w:ascii="Times New Roman" w:eastAsia="仿宋_GB2312"/>
          <w:b w:val="0"/>
          <w:sz w:val="32"/>
          <w:szCs w:val="32"/>
        </w:rPr>
        <w:t>2024年度本年收入合计4,881.33万元，其中：财政拨款收入4,842.33万元，占99.2%；上级补助收入0.00万元，占0.0%；事业收入0.00万元，占0.0%；经营收入0.00万元，占0.0%；附属</w:t>
      </w:r>
      <w:r>
        <w:rPr>
          <w:rFonts w:hint="eastAsia" w:ascii="Times New Roman" w:eastAsia="仿宋_GB2312"/>
          <w:b w:val="0"/>
          <w:sz w:val="32"/>
          <w:szCs w:val="32"/>
          <w:lang w:eastAsia="zh-CN"/>
        </w:rPr>
        <w:t>部门</w:t>
      </w:r>
      <w:r>
        <w:rPr>
          <w:rFonts w:ascii="Times New Roman" w:eastAsia="仿宋_GB2312"/>
          <w:b w:val="0"/>
          <w:sz w:val="32"/>
          <w:szCs w:val="32"/>
        </w:rPr>
        <w:t>上缴收入0.00万元，占0.0%；其他收入39.00万元，占0.8%。</w:t>
      </w:r>
    </w:p>
    <w:p>
      <w:pPr>
        <w:adjustRightInd w:val="0"/>
        <w:snapToGrid w:val="0"/>
        <w:spacing w:line="580" w:lineRule="exact"/>
        <w:jc w:val="both"/>
        <w:rPr>
          <w:rFonts w:hint="default" w:ascii="Times New Roman" w:hAnsi="Times New Roman" w:eastAsia="仿宋_GB2312" w:cs="Times New Roman"/>
          <w:kern w:val="2"/>
          <w:sz w:val="32"/>
          <w:szCs w:val="32"/>
          <w:highlight w:val="yellow"/>
          <w:lang w:val="zh-CN"/>
        </w:rPr>
      </w:pPr>
      <w:r>
        <w:rPr>
          <w:rFonts w:ascii="Times New Roman" w:hAnsi="Times New Roman" w:eastAsia="仿宋_GB2312"/>
          <w:kern w:val="2"/>
          <w:sz w:val="32"/>
          <w:szCs w:val="32"/>
          <w:highlight w:val="yellow"/>
          <w:lang w:val="zh-CN"/>
        </w:rPr>
        <w:drawing>
          <wp:anchor distT="0" distB="0" distL="114300" distR="114300" simplePos="0" relativeHeight="251661312" behindDoc="0" locked="0" layoutInCell="1" allowOverlap="1">
            <wp:simplePos x="0" y="0"/>
            <wp:positionH relativeFrom="column">
              <wp:posOffset>-16510</wp:posOffset>
            </wp:positionH>
            <wp:positionV relativeFrom="paragraph">
              <wp:posOffset>201930</wp:posOffset>
            </wp:positionV>
            <wp:extent cx="5256530" cy="2988310"/>
            <wp:effectExtent l="5080" t="4445" r="8890" b="17145"/>
            <wp:wrapTopAndBottom/>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pPr>
        <w:widowControl/>
        <w:spacing w:before="0" w:beforeLines="0" w:beforeAutospacing="0" w:after="0" w:afterLines="0" w:afterAutospacing="0" w:line="360" w:lineRule="auto"/>
        <w:jc w:val="left"/>
        <w:outlineLvl w:val="1"/>
        <w:rPr>
          <w:rFonts w:ascii="Times New Roman" w:eastAsia="黑体"/>
          <w:sz w:val="32"/>
          <w:szCs w:val="32"/>
        </w:rPr>
      </w:pPr>
      <w:r>
        <w:rPr>
          <w:rFonts w:ascii="Times New Roman" w:eastAsia="黑体"/>
          <w:b w:val="0"/>
          <w:sz w:val="32"/>
          <w:szCs w:val="32"/>
        </w:rPr>
        <w:t>三、支出决算情况说明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本</w:t>
      </w:r>
      <w:r>
        <w:rPr>
          <w:rFonts w:hint="eastAsia" w:ascii="Times New Roman" w:eastAsia="仿宋_GB2312"/>
          <w:b w:val="0"/>
          <w:sz w:val="32"/>
          <w:szCs w:val="32"/>
          <w:lang w:eastAsia="zh-CN"/>
        </w:rPr>
        <w:t>部门</w:t>
      </w:r>
      <w:r>
        <w:rPr>
          <w:rFonts w:ascii="Times New Roman" w:eastAsia="仿宋_GB2312"/>
          <w:b w:val="0"/>
          <w:sz w:val="32"/>
          <w:szCs w:val="32"/>
        </w:rPr>
        <w:t>2024年度本年支出合计4,933.32万元，其中：基本支出3,896.62万元，占79.0%；项目支出1,036.70万元，占21.0%；上缴上级支出0.00万元，占0.0%；经营支出0.00万元，占0.0%；对附属</w:t>
      </w:r>
      <w:r>
        <w:rPr>
          <w:rFonts w:hint="eastAsia" w:ascii="Times New Roman" w:eastAsia="仿宋_GB2312"/>
          <w:b w:val="0"/>
          <w:sz w:val="32"/>
          <w:szCs w:val="32"/>
          <w:lang w:eastAsia="zh-CN"/>
        </w:rPr>
        <w:t>部门</w:t>
      </w:r>
      <w:r>
        <w:rPr>
          <w:rFonts w:ascii="Times New Roman" w:eastAsia="仿宋_GB2312"/>
          <w:b w:val="0"/>
          <w:sz w:val="32"/>
          <w:szCs w:val="32"/>
        </w:rPr>
        <w:t>补助支出0.00万元，占0.0%。</w:t>
      </w:r>
    </w:p>
    <w:p>
      <w:pPr>
        <w:autoSpaceDE w:val="0"/>
        <w:autoSpaceDN w:val="0"/>
        <w:adjustRightInd w:val="0"/>
        <w:jc w:val="center"/>
        <w:rPr>
          <w:rFonts w:hint="default" w:ascii="Times New Roman" w:hAnsi="Times New Roman" w:eastAsia="仿宋_GB2312" w:cs="Times New Roman"/>
          <w:color w:val="auto"/>
          <w:kern w:val="0"/>
          <w:sz w:val="32"/>
          <w:szCs w:val="32"/>
          <w:highlight w:val="none"/>
          <w:lang w:val="en-US" w:eastAsia="zh-CN" w:bidi="ar-SA"/>
        </w:rPr>
      </w:pPr>
      <w:r>
        <w:rPr>
          <w:rFonts w:ascii="Times New Roman" w:hAnsi="Times New Roman" w:eastAsia="仿宋_GB2312" w:cs="Times New Roman"/>
          <w:sz w:val="32"/>
          <w:szCs w:val="32"/>
          <w:highlight w:val="none"/>
        </w:rPr>
        <w:drawing>
          <wp:inline distT="0" distB="0" distL="114300" distR="114300">
            <wp:extent cx="5256530" cy="2988310"/>
            <wp:effectExtent l="5080" t="4445" r="11430" b="952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widowControl/>
        <w:spacing w:before="0" w:beforeLines="0" w:beforeAutospacing="0" w:after="0" w:afterLines="0" w:afterAutospacing="0" w:line="360" w:lineRule="auto"/>
        <w:ind w:firstLine="200" w:firstLineChars="200"/>
        <w:jc w:val="left"/>
        <w:outlineLvl w:val="1"/>
        <w:rPr>
          <w:rFonts w:ascii="Times New Roman" w:eastAsia="黑体"/>
          <w:sz w:val="32"/>
          <w:szCs w:val="32"/>
        </w:rPr>
      </w:pPr>
      <w:r>
        <w:rPr>
          <w:rFonts w:ascii="Times New Roman" w:eastAsia="黑体"/>
          <w:b w:val="0"/>
          <w:sz w:val="32"/>
          <w:szCs w:val="32"/>
        </w:rPr>
        <w:t>四、财政拨款收入支出决算总体情况说明</w:t>
      </w:r>
    </w:p>
    <w:p>
      <w:pPr>
        <w:widowControl/>
        <w:spacing w:before="0" w:beforeLines="0" w:beforeAutospacing="0" w:after="0" w:afterLines="0" w:afterAutospacing="0" w:line="360" w:lineRule="auto"/>
        <w:ind w:firstLine="200" w:firstLineChars="200"/>
        <w:jc w:val="left"/>
        <w:rPr>
          <w:rFonts w:ascii="Times New Roman" w:eastAsia="楷体_GB2312"/>
          <w:sz w:val="32"/>
          <w:szCs w:val="32"/>
        </w:rPr>
      </w:pPr>
      <w:r>
        <w:rPr>
          <w:rFonts w:ascii="Times New Roman" w:eastAsia="楷体_GB2312"/>
          <w:b/>
          <w:sz w:val="32"/>
          <w:szCs w:val="32"/>
        </w:rPr>
        <w:t>（一）财政拨款收支与</w:t>
      </w:r>
      <w:r>
        <w:rPr>
          <w:rFonts w:ascii="Times New Roman" w:eastAsia="仿宋_GB2312"/>
          <w:b/>
          <w:sz w:val="32"/>
          <w:szCs w:val="32"/>
        </w:rPr>
        <w:t>2023</w:t>
      </w:r>
      <w:r>
        <w:rPr>
          <w:rFonts w:ascii="Times New Roman" w:eastAsia="楷体_GB2312"/>
          <w:b/>
          <w:sz w:val="32"/>
          <w:szCs w:val="32"/>
        </w:rPr>
        <w:t>年度决算对比情况</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本</w:t>
      </w:r>
      <w:r>
        <w:rPr>
          <w:rFonts w:hint="eastAsia" w:ascii="Times New Roman" w:eastAsia="仿宋_GB2312"/>
          <w:b w:val="0"/>
          <w:sz w:val="32"/>
          <w:szCs w:val="32"/>
          <w:lang w:eastAsia="zh-CN"/>
        </w:rPr>
        <w:t>部门</w:t>
      </w:r>
      <w:r>
        <w:rPr>
          <w:rFonts w:ascii="Times New Roman" w:eastAsia="仿宋_GB2312"/>
          <w:b w:val="0"/>
          <w:sz w:val="32"/>
          <w:szCs w:val="32"/>
        </w:rPr>
        <w:t>2024年度财政拨款收、支总计（含结转和结余）均为4,895.32万元。与2023年度相比，财政拨款收支各减少537.40万元，降低9.9%，主要原因是</w:t>
      </w:r>
      <w:r>
        <w:rPr>
          <w:rFonts w:hint="eastAsia" w:ascii="Times New Roman" w:eastAsia="仿宋_GB2312"/>
          <w:b w:val="0"/>
          <w:sz w:val="32"/>
          <w:szCs w:val="32"/>
        </w:rPr>
        <w:t>人员经费收支</w:t>
      </w:r>
      <w:r>
        <w:rPr>
          <w:rFonts w:hint="eastAsia" w:ascii="Times New Roman" w:eastAsia="仿宋_GB2312"/>
          <w:b w:val="0"/>
          <w:sz w:val="32"/>
          <w:szCs w:val="32"/>
          <w:lang w:eastAsia="zh-CN"/>
        </w:rPr>
        <w:t>和</w:t>
      </w:r>
      <w:r>
        <w:rPr>
          <w:rFonts w:hint="eastAsia" w:ascii="Times New Roman" w:eastAsia="仿宋_GB2312"/>
          <w:b w:val="0"/>
          <w:sz w:val="32"/>
          <w:szCs w:val="32"/>
        </w:rPr>
        <w:t>专项资金收支减少，</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本</w:t>
      </w:r>
      <w:r>
        <w:rPr>
          <w:rFonts w:hint="eastAsia" w:ascii="Times New Roman" w:eastAsia="仿宋_GB2312"/>
          <w:b w:val="0"/>
          <w:sz w:val="32"/>
          <w:szCs w:val="32"/>
          <w:lang w:eastAsia="zh-CN"/>
        </w:rPr>
        <w:t>部门</w:t>
      </w:r>
      <w:r>
        <w:rPr>
          <w:rFonts w:ascii="Times New Roman" w:eastAsia="仿宋_GB2312"/>
          <w:b w:val="0"/>
          <w:sz w:val="32"/>
          <w:szCs w:val="32"/>
        </w:rPr>
        <w:t>2024年度财政拨款本年收入4,842.33万元,比上年减少432.57万元，降低8.2%，主要原因是</w:t>
      </w:r>
      <w:r>
        <w:rPr>
          <w:rFonts w:hint="eastAsia" w:ascii="FangSong_GB2312" w:hAnsi="FangSong_GB2312" w:eastAsia="FangSong_GB2312"/>
          <w:sz w:val="32"/>
        </w:rPr>
        <w:t>人员经费及项目经费收入减少</w:t>
      </w:r>
      <w:r>
        <w:rPr>
          <w:rFonts w:ascii="Times New Roman" w:eastAsia="仿宋_GB2312"/>
          <w:b w:val="0"/>
          <w:sz w:val="32"/>
          <w:szCs w:val="32"/>
        </w:rPr>
        <w:t>；本年支出4,817.94万元，比上年减少561.79万元，降低10.4%，主要原因是</w:t>
      </w:r>
      <w:r>
        <w:rPr>
          <w:rFonts w:hint="eastAsia" w:ascii="Times New Roman" w:eastAsia="仿宋_GB2312"/>
          <w:b w:val="0"/>
          <w:sz w:val="32"/>
          <w:szCs w:val="32"/>
          <w:lang w:eastAsia="zh-CN"/>
        </w:rPr>
        <w:t>人员经费</w:t>
      </w:r>
      <w:r>
        <w:rPr>
          <w:rFonts w:hint="eastAsia" w:ascii="FangSong_GB2312" w:hAnsi="FangSong_GB2312" w:eastAsia="FangSong_GB2312"/>
          <w:sz w:val="32"/>
        </w:rPr>
        <w:t>本年支出减少，以及部分项目支出减少</w:t>
      </w:r>
      <w:r>
        <w:rPr>
          <w:rFonts w:ascii="Times New Roman" w:eastAsia="仿宋_GB2312"/>
          <w:b w:val="0"/>
          <w:sz w:val="32"/>
          <w:szCs w:val="32"/>
        </w:rPr>
        <w:t>。具体情况如下：</w:t>
      </w:r>
    </w:p>
    <w:p>
      <w:pPr>
        <w:widowControl/>
        <w:spacing w:before="0" w:beforeLines="0" w:beforeAutospacing="0" w:after="0" w:afterLines="0" w:afterAutospacing="0" w:line="360" w:lineRule="auto"/>
        <w:ind w:firstLine="200" w:firstLineChars="200"/>
        <w:jc w:val="left"/>
        <w:outlineLvl w:val="1"/>
        <w:rPr>
          <w:rFonts w:ascii="Times New Roman" w:eastAsia="仿宋_GB2312"/>
          <w:sz w:val="32"/>
          <w:szCs w:val="32"/>
        </w:rPr>
      </w:pPr>
      <w:r>
        <w:rPr>
          <w:rFonts w:ascii="Times New Roman" w:eastAsia="仿宋_GB2312"/>
          <w:b w:val="0"/>
          <w:sz w:val="32"/>
          <w:szCs w:val="32"/>
        </w:rPr>
        <w:t>一般公共预算财政拨款本年收入4,842.33万元,比上年减少432.57万元，降低8.2%，主要原因是</w:t>
      </w:r>
      <w:r>
        <w:rPr>
          <w:rFonts w:hint="eastAsia" w:ascii="Times New Roman" w:eastAsia="仿宋_GB2312"/>
          <w:b w:val="0"/>
          <w:sz w:val="32"/>
          <w:szCs w:val="32"/>
        </w:rPr>
        <w:t>专项项目</w:t>
      </w:r>
      <w:r>
        <w:rPr>
          <w:rFonts w:hint="eastAsia" w:ascii="Times New Roman" w:eastAsia="仿宋_GB2312"/>
          <w:b w:val="0"/>
          <w:sz w:val="32"/>
          <w:szCs w:val="32"/>
          <w:lang w:eastAsia="zh-CN"/>
        </w:rPr>
        <w:t>收入</w:t>
      </w:r>
      <w:r>
        <w:rPr>
          <w:rFonts w:hint="eastAsia" w:ascii="Times New Roman" w:eastAsia="仿宋_GB2312"/>
          <w:b w:val="0"/>
          <w:sz w:val="32"/>
          <w:szCs w:val="32"/>
        </w:rPr>
        <w:t>减少</w:t>
      </w:r>
      <w:r>
        <w:rPr>
          <w:rFonts w:ascii="Times New Roman" w:eastAsia="仿宋_GB2312"/>
          <w:b w:val="0"/>
          <w:sz w:val="32"/>
          <w:szCs w:val="32"/>
        </w:rPr>
        <w:t>；本年支出4,817.94万元，比上年减少561.79万元，降低10.4%，主要原因是</w:t>
      </w:r>
      <w:r>
        <w:rPr>
          <w:rFonts w:hint="eastAsia" w:ascii="Times New Roman" w:eastAsia="仿宋_GB2312"/>
          <w:b w:val="0"/>
          <w:sz w:val="32"/>
          <w:szCs w:val="32"/>
        </w:rPr>
        <w:t>人员经费本年支出减少，以及部分项目支出减少。本部门2024年度无政府性基金预算财政拨款收入和国有资本经营预算财政拨款收</w:t>
      </w:r>
      <w:r>
        <w:rPr>
          <w:rFonts w:hint="eastAsia" w:ascii="Times New Roman" w:eastAsia="仿宋_GB2312"/>
          <w:b w:val="0"/>
          <w:sz w:val="32"/>
          <w:szCs w:val="32"/>
          <w:lang w:eastAsia="zh-CN"/>
        </w:rPr>
        <w:t>入。</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eastAsia="仿宋_GB2312" w:cs="Times New Roman"/>
          <w:sz w:val="32"/>
          <w:szCs w:val="32"/>
          <w:highlight w:val="none"/>
          <w:lang w:val="en-US" w:eastAsia="zh-CN"/>
        </w:rPr>
      </w:pPr>
      <w:r>
        <w:rPr>
          <w:rFonts w:ascii="Times New Roman" w:hAnsi="Times New Roman" w:eastAsia="仿宋_GB2312"/>
          <w:sz w:val="32"/>
          <w:szCs w:val="32"/>
        </w:rPr>
        <w:drawing>
          <wp:inline distT="0" distB="0" distL="114300" distR="114300">
            <wp:extent cx="5256530" cy="2988310"/>
            <wp:effectExtent l="5080" t="4445" r="8890" b="1714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widowControl/>
        <w:spacing w:before="0" w:beforeLines="0" w:beforeAutospacing="0" w:after="0" w:afterLines="0" w:afterAutospacing="0" w:line="360" w:lineRule="auto"/>
        <w:ind w:firstLine="200" w:firstLineChars="200"/>
        <w:jc w:val="left"/>
        <w:rPr>
          <w:rFonts w:ascii="Times New Roman" w:eastAsia="楷体_GB2312"/>
          <w:sz w:val="32"/>
          <w:szCs w:val="32"/>
        </w:rPr>
      </w:pPr>
      <w:r>
        <w:rPr>
          <w:rFonts w:ascii="Times New Roman" w:eastAsia="楷体_GB2312"/>
          <w:b/>
          <w:sz w:val="32"/>
          <w:szCs w:val="32"/>
        </w:rPr>
        <w:t>（二）财政拨款收支与年初预算数对比情况</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本</w:t>
      </w:r>
      <w:r>
        <w:rPr>
          <w:rFonts w:hint="eastAsia" w:ascii="Times New Roman" w:eastAsia="仿宋_GB2312"/>
          <w:b w:val="0"/>
          <w:sz w:val="32"/>
          <w:szCs w:val="32"/>
          <w:lang w:eastAsia="zh-CN"/>
        </w:rPr>
        <w:t>部门</w:t>
      </w:r>
      <w:r>
        <w:rPr>
          <w:rFonts w:ascii="Times New Roman" w:eastAsia="仿宋_GB2312"/>
          <w:b w:val="0"/>
          <w:sz w:val="32"/>
          <w:szCs w:val="32"/>
        </w:rPr>
        <w:t>2024年度财政拨款本年收入4,842.33万元，完成年初预算的87.9%，比年初预算减少665.34万元，决算数小于预算数主要原因是</w:t>
      </w:r>
      <w:r>
        <w:rPr>
          <w:rFonts w:hint="eastAsia" w:ascii="Times New Roman" w:eastAsia="仿宋_GB2312"/>
          <w:b w:val="0"/>
          <w:sz w:val="32"/>
          <w:szCs w:val="32"/>
        </w:rPr>
        <w:t>是部分项目支出减少，相应调减收入</w:t>
      </w:r>
      <w:r>
        <w:rPr>
          <w:rFonts w:ascii="Times New Roman" w:eastAsia="仿宋_GB2312"/>
          <w:b w:val="0"/>
          <w:sz w:val="32"/>
          <w:szCs w:val="32"/>
        </w:rPr>
        <w:t>；本年支出4,817.94万元，完成年初预算的87.5%，比年初预算减少689.73万元，决算数小于预算数主要原因是</w:t>
      </w:r>
      <w:r>
        <w:rPr>
          <w:rFonts w:hint="eastAsia" w:ascii="Times New Roman" w:eastAsia="仿宋_GB2312"/>
          <w:b w:val="0"/>
          <w:sz w:val="32"/>
          <w:szCs w:val="32"/>
          <w:lang w:eastAsia="zh-CN"/>
        </w:rPr>
        <w:t>人员经费</w:t>
      </w:r>
      <w:r>
        <w:rPr>
          <w:rFonts w:hint="eastAsia" w:ascii="FangSong_GB2312" w:hAnsi="FangSong_GB2312" w:eastAsia="FangSong_GB2312"/>
          <w:sz w:val="32"/>
        </w:rPr>
        <w:t>本年支出减少，以及部分项目支出减少</w:t>
      </w:r>
      <w:r>
        <w:rPr>
          <w:rFonts w:ascii="Times New Roman" w:eastAsia="仿宋_GB2312"/>
          <w:b w:val="0"/>
          <w:sz w:val="32"/>
          <w:szCs w:val="32"/>
        </w:rPr>
        <w:t>。具体情况如下：</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一般公共预算财政拨款本年收入完成年初预算的87.9%，比年初预算减少665.34万元，主要原因是</w:t>
      </w:r>
      <w:r>
        <w:rPr>
          <w:rFonts w:hint="eastAsia" w:ascii="Times New Roman" w:eastAsia="仿宋_GB2312"/>
          <w:b w:val="0"/>
          <w:sz w:val="32"/>
          <w:szCs w:val="32"/>
        </w:rPr>
        <w:t>部分项目支出减少，相应调减收入</w:t>
      </w:r>
      <w:r>
        <w:rPr>
          <w:rFonts w:ascii="Times New Roman" w:eastAsia="仿宋_GB2312"/>
          <w:b w:val="0"/>
          <w:sz w:val="32"/>
          <w:szCs w:val="32"/>
        </w:rPr>
        <w:t>；支出完成年初预算的87.5%，比年初预算减少689.73万元，主要原因是</w:t>
      </w:r>
      <w:r>
        <w:rPr>
          <w:rFonts w:hint="eastAsia" w:ascii="Times New Roman" w:eastAsia="仿宋_GB2312"/>
          <w:b w:val="0"/>
          <w:sz w:val="32"/>
          <w:szCs w:val="32"/>
          <w:lang w:eastAsia="zh-CN"/>
        </w:rPr>
        <w:t>人员经费</w:t>
      </w:r>
      <w:r>
        <w:rPr>
          <w:rFonts w:hint="eastAsia" w:ascii="FangSong_GB2312" w:hAnsi="FangSong_GB2312" w:eastAsia="FangSong_GB2312"/>
          <w:sz w:val="32"/>
        </w:rPr>
        <w:t>本年支出减少，以及部分项目支出减少</w:t>
      </w:r>
      <w:r>
        <w:rPr>
          <w:rFonts w:ascii="Times New Roman" w:eastAsia="仿宋_GB2312"/>
          <w:b w:val="0"/>
          <w:sz w:val="32"/>
          <w:szCs w:val="32"/>
        </w:rPr>
        <w:t>。</w:t>
      </w:r>
      <w:r>
        <w:rPr>
          <w:rFonts w:hint="eastAsia" w:ascii="Times New Roman" w:eastAsia="仿宋_GB2312"/>
          <w:b w:val="0"/>
          <w:sz w:val="32"/>
          <w:szCs w:val="32"/>
        </w:rPr>
        <w:t>本部门2024年度无政府性基金预算财政拨款收入和国有资本经营预算财政拨款收</w:t>
      </w:r>
      <w:r>
        <w:rPr>
          <w:rFonts w:hint="eastAsia" w:ascii="Times New Roman" w:eastAsia="仿宋_GB2312"/>
          <w:b w:val="0"/>
          <w:sz w:val="32"/>
          <w:szCs w:val="32"/>
          <w:lang w:eastAsia="zh-CN"/>
        </w:rPr>
        <w:t>入。</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Times New Roman" w:hAnsi="Times New Roman" w:eastAsia="Arial" w:cs="Times New Roman"/>
          <w:highlight w:val="none"/>
        </w:rPr>
      </w:pP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eastAsia="仿宋_GB2312" w:cs="Times New Roman"/>
          <w:color w:val="auto"/>
          <w:kern w:val="0"/>
          <w:sz w:val="32"/>
          <w:szCs w:val="32"/>
          <w:highlight w:val="none"/>
          <w:lang w:val="en-US" w:eastAsia="zh-CN" w:bidi="ar-SA"/>
        </w:rPr>
      </w:pPr>
      <w:r>
        <w:rPr>
          <w:rFonts w:ascii="Times New Roman" w:hAnsi="Times New Roman" w:eastAsia="仿宋_GB2312"/>
          <w:sz w:val="32"/>
          <w:szCs w:val="32"/>
          <w:highlight w:val="none"/>
        </w:rPr>
        <w:drawing>
          <wp:inline distT="0" distB="0" distL="114300" distR="114300">
            <wp:extent cx="5256530" cy="2988310"/>
            <wp:effectExtent l="5080" t="4445" r="8890" b="17145"/>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widowControl/>
        <w:spacing w:before="0" w:beforeLines="0" w:beforeAutospacing="0" w:after="0" w:afterLines="0" w:afterAutospacing="0" w:line="360" w:lineRule="auto"/>
        <w:ind w:firstLine="200" w:firstLineChars="200"/>
        <w:jc w:val="left"/>
        <w:rPr>
          <w:rFonts w:ascii="Times New Roman" w:eastAsia="楷体_GB2312"/>
          <w:sz w:val="32"/>
          <w:szCs w:val="32"/>
        </w:rPr>
      </w:pPr>
      <w:r>
        <w:rPr>
          <w:rFonts w:ascii="Times New Roman" w:eastAsia="楷体_GB2312"/>
          <w:b/>
          <w:sz w:val="32"/>
          <w:szCs w:val="32"/>
        </w:rPr>
        <w:t>（三）财政拨款支出决算结构情况</w:t>
      </w:r>
    </w:p>
    <w:p>
      <w:pPr>
        <w:widowControl/>
        <w:spacing w:before="0" w:beforeLines="0" w:beforeAutospacing="0" w:after="0" w:afterLines="0" w:afterAutospacing="0" w:line="360" w:lineRule="auto"/>
        <w:ind w:firstLine="200" w:firstLineChars="200"/>
        <w:jc w:val="left"/>
        <w:rPr>
          <w:rFonts w:hint="eastAsia" w:ascii="Times New Roman" w:eastAsia="仿宋_GB2312"/>
          <w:b w:val="0"/>
          <w:sz w:val="32"/>
          <w:szCs w:val="32"/>
        </w:rPr>
      </w:pPr>
      <w:r>
        <w:rPr>
          <w:rFonts w:ascii="Times New Roman" w:eastAsia="仿宋_GB2312"/>
          <w:b w:val="0"/>
          <w:sz w:val="32"/>
          <w:szCs w:val="32"/>
        </w:rPr>
        <w:t>2024年度财政拨款支出4,817.94万元，</w:t>
      </w:r>
      <w:r>
        <w:rPr>
          <w:rFonts w:hint="eastAsia" w:ascii="Times New Roman" w:eastAsia="仿宋_GB2312"/>
          <w:b w:val="0"/>
          <w:sz w:val="32"/>
          <w:szCs w:val="32"/>
        </w:rPr>
        <w:t>全部为一般公共预算</w:t>
      </w:r>
    </w:p>
    <w:p>
      <w:pPr>
        <w:widowControl/>
        <w:spacing w:before="0" w:beforeLines="0" w:beforeAutospacing="0" w:after="0" w:afterLines="0" w:afterAutospacing="0" w:line="360" w:lineRule="auto"/>
        <w:jc w:val="left"/>
        <w:rPr>
          <w:rFonts w:ascii="Times New Roman" w:eastAsia="仿宋_GB2312"/>
          <w:sz w:val="32"/>
          <w:szCs w:val="32"/>
        </w:rPr>
      </w:pPr>
      <w:r>
        <w:rPr>
          <w:rFonts w:hint="eastAsia" w:ascii="Times New Roman" w:eastAsia="仿宋_GB2312"/>
          <w:b w:val="0"/>
          <w:sz w:val="32"/>
          <w:szCs w:val="32"/>
        </w:rPr>
        <w:t>财政拨款支出，</w:t>
      </w:r>
      <w:r>
        <w:rPr>
          <w:rFonts w:ascii="Times New Roman" w:eastAsia="仿宋_GB2312"/>
          <w:b w:val="0"/>
          <w:sz w:val="32"/>
          <w:szCs w:val="32"/>
        </w:rPr>
        <w:t>主要用于以下方面：</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一般公共服务（类）支出3,444.28万元，占71.5%，主要用于</w:t>
      </w:r>
      <w:r>
        <w:rPr>
          <w:rFonts w:hint="eastAsia" w:ascii="Times New Roman" w:eastAsia="仿宋_GB2312"/>
          <w:b w:val="0"/>
          <w:sz w:val="32"/>
          <w:szCs w:val="32"/>
        </w:rPr>
        <w:t>人员工资、津贴补贴、日常公用经费、以及其他财政事务等支出</w:t>
      </w:r>
      <w:r>
        <w:rPr>
          <w:rFonts w:ascii="Times New Roman" w:eastAsia="仿宋_GB2312"/>
          <w:b w:val="0"/>
          <w:sz w:val="32"/>
          <w:szCs w:val="32"/>
        </w:rPr>
        <w:t>等支出；社会保障和就业（类）支出823.49万元，占17.1%，主要用于</w:t>
      </w:r>
      <w:r>
        <w:rPr>
          <w:rFonts w:hint="eastAsia" w:ascii="Times New Roman" w:eastAsia="仿宋_GB2312"/>
          <w:b w:val="0"/>
          <w:sz w:val="32"/>
          <w:szCs w:val="32"/>
        </w:rPr>
        <w:t>离退休人员经费、职工基本养老保险等人员经费支出</w:t>
      </w:r>
      <w:r>
        <w:rPr>
          <w:rFonts w:ascii="Times New Roman" w:eastAsia="仿宋_GB2312"/>
          <w:b w:val="0"/>
          <w:sz w:val="32"/>
          <w:szCs w:val="32"/>
        </w:rPr>
        <w:t>等支出；卫生健康（类）支出187.72万元，占3.9%，主要用于</w:t>
      </w:r>
      <w:r>
        <w:rPr>
          <w:rFonts w:hint="eastAsia" w:ascii="Times New Roman" w:eastAsia="仿宋_GB2312"/>
          <w:b w:val="0"/>
          <w:sz w:val="32"/>
          <w:szCs w:val="32"/>
        </w:rPr>
        <w:t>于职工医疗保险等人员经费</w:t>
      </w:r>
      <w:r>
        <w:rPr>
          <w:rFonts w:ascii="Times New Roman" w:eastAsia="仿宋_GB2312"/>
          <w:b w:val="0"/>
          <w:sz w:val="32"/>
          <w:szCs w:val="32"/>
        </w:rPr>
        <w:t>等支出；住房保障（类）支出362.45万元，占7.5%，主要用于</w:t>
      </w:r>
      <w:r>
        <w:rPr>
          <w:rFonts w:hint="eastAsia" w:ascii="Times New Roman" w:eastAsia="仿宋_GB2312"/>
          <w:b w:val="0"/>
          <w:sz w:val="32"/>
          <w:szCs w:val="32"/>
        </w:rPr>
        <w:t>职工住房公积金等人员经费</w:t>
      </w:r>
      <w:r>
        <w:rPr>
          <w:rFonts w:ascii="Times New Roman" w:eastAsia="仿宋_GB2312"/>
          <w:b w:val="0"/>
          <w:sz w:val="32"/>
          <w:szCs w:val="32"/>
        </w:rPr>
        <w:t>等支出</w:t>
      </w:r>
      <w:r>
        <w:rPr>
          <w:rFonts w:hint="eastAsia" w:ascii="Times New Roman" w:eastAsia="仿宋_GB2312"/>
          <w:b w:val="0"/>
          <w:sz w:val="32"/>
          <w:szCs w:val="32"/>
          <w:lang w:eastAsia="zh-CN"/>
        </w:rPr>
        <w:t>。</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ind w:left="0" w:right="0"/>
        <w:jc w:val="left"/>
        <w:textAlignment w:val="auto"/>
        <w:rPr>
          <w:rFonts w:hint="default" w:ascii="Times New Roman" w:hAnsi="Times New Roman" w:eastAsia="仿宋_GB2312" w:cs="Times New Roman"/>
          <w:color w:val="auto"/>
          <w:kern w:val="2"/>
          <w:sz w:val="32"/>
          <w:szCs w:val="32"/>
          <w:lang w:val="zh-CN" w:eastAsia="zh-CN" w:bidi="ar-SA"/>
        </w:rPr>
      </w:pPr>
      <w:r>
        <w:rPr>
          <w:rFonts w:ascii="Times New Roman" w:hAnsi="Times New Roman" w:eastAsia="仿宋_GB2312"/>
          <w:kern w:val="2"/>
          <w:sz w:val="32"/>
          <w:szCs w:val="32"/>
          <w:lang w:val="zh-CN"/>
        </w:rPr>
        <w:drawing>
          <wp:inline distT="0" distB="0" distL="114300" distR="114300">
            <wp:extent cx="5859145" cy="2988310"/>
            <wp:effectExtent l="5080" t="4445" r="15875" b="17145"/>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widowControl/>
        <w:spacing w:before="0" w:beforeLines="0" w:beforeAutospacing="0" w:after="0" w:afterLines="0" w:afterAutospacing="0" w:line="360" w:lineRule="auto"/>
        <w:ind w:firstLine="200" w:firstLineChars="200"/>
        <w:jc w:val="left"/>
        <w:rPr>
          <w:rFonts w:ascii="Times New Roman" w:eastAsia="楷体_GB2312"/>
          <w:sz w:val="32"/>
          <w:szCs w:val="32"/>
        </w:rPr>
      </w:pPr>
      <w:r>
        <w:rPr>
          <w:rFonts w:ascii="Times New Roman" w:eastAsia="楷体_GB2312"/>
          <w:b/>
          <w:sz w:val="32"/>
          <w:szCs w:val="32"/>
        </w:rPr>
        <w:t>（四）一般公共预算基本支出决算情况说明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2024年度财政拨款基本支出3,896.62万元，其中：</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人员经费3,578.97万元，主要包括基本工资、津贴补贴、奖金、伙食补助费、绩效工资、机关事业部门基本养老保险缴费、职业年金缴费、职工基本医疗保险缴费、公务员医疗补助缴费、住房公积金、医疗费、其他社会保障缴费、其他工资福利支出、离休费、退休费、抚恤金、生活补助、医疗费补助、奖励金、其他对个人和家庭的补助支出。</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公用经费317.65万元，主要包括办公费、印刷费、手续费、邮电费、差旅费、维修（护）费、租赁费、会议费、培训费、公务接待费、委托业务费、工会经费、福利费、公务用车运行维护费、其他交通费用</w:t>
      </w:r>
      <w:r>
        <w:rPr>
          <w:rFonts w:hint="eastAsia" w:ascii="Times New Roman" w:eastAsia="仿宋_GB2312"/>
          <w:b w:val="0"/>
          <w:sz w:val="32"/>
          <w:szCs w:val="32"/>
          <w:lang w:eastAsia="zh-CN"/>
        </w:rPr>
        <w:t>、</w:t>
      </w:r>
      <w:r>
        <w:rPr>
          <w:rFonts w:ascii="Times New Roman" w:eastAsia="仿宋_GB2312"/>
          <w:b w:val="0"/>
          <w:sz w:val="32"/>
          <w:szCs w:val="32"/>
        </w:rPr>
        <w:t>其他商品和服务支出。</w:t>
      </w:r>
    </w:p>
    <w:p>
      <w:pPr>
        <w:widowControl/>
        <w:spacing w:before="0" w:beforeLines="0" w:beforeAutospacing="0" w:after="0" w:afterLines="0" w:afterAutospacing="0" w:line="360" w:lineRule="auto"/>
        <w:ind w:firstLine="200" w:firstLineChars="200"/>
        <w:jc w:val="left"/>
        <w:outlineLvl w:val="1"/>
        <w:rPr>
          <w:rFonts w:ascii="Times New Roman" w:eastAsia="黑体"/>
          <w:sz w:val="32"/>
          <w:szCs w:val="32"/>
        </w:rPr>
      </w:pPr>
      <w:r>
        <w:rPr>
          <w:rFonts w:ascii="Times New Roman" w:eastAsia="黑体"/>
          <w:b w:val="0"/>
          <w:sz w:val="32"/>
          <w:szCs w:val="32"/>
        </w:rPr>
        <w:t>五、财政拨款“三公”经费支出决算情况说明</w:t>
      </w:r>
    </w:p>
    <w:p>
      <w:pPr>
        <w:widowControl/>
        <w:spacing w:before="0" w:beforeLines="0" w:beforeAutospacing="0" w:after="0" w:afterLines="0" w:afterAutospacing="0" w:line="360" w:lineRule="auto"/>
        <w:ind w:firstLine="200" w:firstLineChars="200"/>
        <w:jc w:val="left"/>
        <w:rPr>
          <w:rFonts w:ascii="Times New Roman" w:eastAsia="楷体_GB2312"/>
          <w:sz w:val="32"/>
          <w:szCs w:val="32"/>
        </w:rPr>
      </w:pPr>
      <w:r>
        <w:rPr>
          <w:rFonts w:ascii="Times New Roman" w:eastAsia="楷体_GB2312"/>
          <w:b/>
          <w:sz w:val="32"/>
          <w:szCs w:val="32"/>
        </w:rPr>
        <w:t>（一）“三公”经费财政拨款支出决算总体情况说明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本</w:t>
      </w:r>
      <w:r>
        <w:rPr>
          <w:rFonts w:hint="eastAsia" w:ascii="Times New Roman" w:eastAsia="仿宋_GB2312"/>
          <w:b w:val="0"/>
          <w:sz w:val="32"/>
          <w:szCs w:val="32"/>
          <w:lang w:eastAsia="zh-CN"/>
        </w:rPr>
        <w:t>部门</w:t>
      </w:r>
      <w:r>
        <w:rPr>
          <w:rFonts w:ascii="Times New Roman" w:eastAsia="仿宋_GB2312"/>
          <w:b w:val="0"/>
          <w:sz w:val="32"/>
          <w:szCs w:val="32"/>
        </w:rPr>
        <w:t>2024年度“三公”经费财政拨款支出预算为8.20万元，支出决算为2.52万元，完成预算的30.7%，较预算减少5.68万元，降低69.3%，主要原因是</w:t>
      </w:r>
      <w:r>
        <w:rPr>
          <w:rFonts w:hint="eastAsia" w:ascii="Times New Roman" w:eastAsia="仿宋_GB2312"/>
          <w:b w:val="0"/>
          <w:sz w:val="32"/>
          <w:szCs w:val="32"/>
        </w:rPr>
        <w:t>是公务用车运行维护费和公务接待费较预算减少；</w:t>
      </w:r>
      <w:r>
        <w:rPr>
          <w:rFonts w:ascii="Times New Roman" w:eastAsia="仿宋_GB2312"/>
          <w:b w:val="0"/>
          <w:sz w:val="32"/>
          <w:szCs w:val="32"/>
        </w:rPr>
        <w:t>较2023年度决算减少4.94万元，降低66.2%，主要原因是</w:t>
      </w:r>
      <w:r>
        <w:rPr>
          <w:rFonts w:hint="eastAsia" w:ascii="FangSong_GB2312" w:hAnsi="FangSong_GB2312" w:eastAsia="FangSong_GB2312"/>
          <w:sz w:val="32"/>
        </w:rPr>
        <w:t>本年公务用车</w:t>
      </w:r>
      <w:r>
        <w:rPr>
          <w:rFonts w:hint="eastAsia" w:ascii="FangSong_GB2312" w:hAnsi="FangSong_GB2312" w:eastAsia="FangSong_GB2312"/>
          <w:sz w:val="32"/>
          <w:lang w:eastAsia="zh-CN"/>
        </w:rPr>
        <w:t>运维费减少</w:t>
      </w:r>
      <w:r>
        <w:rPr>
          <w:rFonts w:ascii="Times New Roman" w:eastAsia="仿宋_GB2312"/>
          <w:b w:val="0"/>
          <w:sz w:val="32"/>
          <w:szCs w:val="32"/>
        </w:rPr>
        <w:t>。</w:t>
      </w:r>
    </w:p>
    <w:p>
      <w:pPr>
        <w:widowControl/>
        <w:spacing w:before="0" w:beforeLines="0" w:beforeAutospacing="0" w:after="0" w:afterLines="0" w:afterAutospacing="0" w:line="360" w:lineRule="auto"/>
        <w:ind w:firstLine="200" w:firstLineChars="200"/>
        <w:jc w:val="left"/>
        <w:rPr>
          <w:rFonts w:ascii="Times New Roman" w:eastAsia="楷体_GB2312"/>
          <w:sz w:val="32"/>
          <w:szCs w:val="32"/>
        </w:rPr>
      </w:pPr>
      <w:r>
        <w:rPr>
          <w:rFonts w:ascii="Times New Roman" w:eastAsia="楷体_GB2312"/>
          <w:b/>
          <w:sz w:val="32"/>
          <w:szCs w:val="32"/>
        </w:rPr>
        <w:t>（二）“三公”经费财政拨款支出决算具体情况说明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楷体_GB2312"/>
          <w:b/>
          <w:sz w:val="32"/>
          <w:szCs w:val="32"/>
        </w:rPr>
        <w:t>1.因公出国（境）费支出情况。</w:t>
      </w:r>
      <w:r>
        <w:rPr>
          <w:rFonts w:ascii="Times New Roman" w:eastAsia="仿宋_GB2312"/>
          <w:b w:val="0"/>
          <w:sz w:val="32"/>
          <w:szCs w:val="32"/>
        </w:rPr>
        <w:t>本</w:t>
      </w:r>
      <w:r>
        <w:rPr>
          <w:rFonts w:hint="eastAsia" w:ascii="Times New Roman" w:eastAsia="仿宋_GB2312"/>
          <w:b w:val="0"/>
          <w:sz w:val="32"/>
          <w:szCs w:val="32"/>
          <w:lang w:eastAsia="zh-CN"/>
        </w:rPr>
        <w:t>部门</w:t>
      </w:r>
      <w:r>
        <w:rPr>
          <w:rFonts w:ascii="Times New Roman" w:eastAsia="仿宋_GB2312"/>
          <w:b w:val="0"/>
          <w:sz w:val="32"/>
          <w:szCs w:val="32"/>
        </w:rPr>
        <w:t>2024年度因公出国（境）费支出预算为0.00万元,支出决算0.00万元。完成预算的0.0%。因公出国（境）费支出较预算增加0.00万元，增长0.0%,主要原因是；较上年增加0.00万元，增长0.00%,主要原因是。因公出国（境）团组0个、共0人、</w:t>
      </w:r>
      <w:r>
        <w:rPr>
          <w:rFonts w:ascii="Times New Roman" w:eastAsia="仿宋_GB2312"/>
          <w:b w:val="0"/>
          <w:color w:val="000000" w:themeColor="text1"/>
          <w:sz w:val="32"/>
          <w:szCs w:val="32"/>
          <w14:textFill>
            <w14:solidFill>
              <w14:schemeClr w14:val="tx1"/>
            </w14:solidFill>
          </w14:textFill>
        </w:rPr>
        <w:t>无</w:t>
      </w:r>
      <w:r>
        <w:rPr>
          <w:rFonts w:ascii="Times New Roman" w:eastAsia="仿宋_GB2312"/>
          <w:b w:val="0"/>
          <w:sz w:val="32"/>
          <w:szCs w:val="32"/>
        </w:rPr>
        <w:t>本部门组织的出国（境）团组。</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楷体_GB2312"/>
          <w:b/>
          <w:sz w:val="32"/>
          <w:szCs w:val="32"/>
        </w:rPr>
        <w:t>2.公务用车购置及运行维护费支出情况。</w:t>
      </w:r>
      <w:r>
        <w:rPr>
          <w:rFonts w:ascii="Times New Roman" w:eastAsia="仿宋_GB2312"/>
          <w:b w:val="0"/>
          <w:sz w:val="32"/>
          <w:szCs w:val="32"/>
        </w:rPr>
        <w:t>本</w:t>
      </w:r>
      <w:r>
        <w:rPr>
          <w:rFonts w:hint="eastAsia" w:ascii="Times New Roman" w:eastAsia="仿宋_GB2312"/>
          <w:b w:val="0"/>
          <w:sz w:val="32"/>
          <w:szCs w:val="32"/>
          <w:lang w:eastAsia="zh-CN"/>
        </w:rPr>
        <w:t>部门</w:t>
      </w:r>
      <w:r>
        <w:rPr>
          <w:rFonts w:ascii="Times New Roman" w:eastAsia="仿宋_GB2312"/>
          <w:b w:val="0"/>
          <w:sz w:val="32"/>
          <w:szCs w:val="32"/>
        </w:rPr>
        <w:t>2024年度公务用车购置及运行维护费预算为7.00万元，支出决算2.36万元，完成预算的33.7%,较预算减少4.64万元，降低66.3%,主要原因是；较上年减少5.11万元，降低68.4%,主要原因是。其中：</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公务用车购置费支出0.00万元：</w:t>
      </w:r>
      <w:r>
        <w:rPr>
          <w:rFonts w:ascii="Times New Roman" w:eastAsia="仿宋_GB2312"/>
          <w:b w:val="0"/>
          <w:sz w:val="32"/>
          <w:szCs w:val="32"/>
        </w:rPr>
        <w:t>本</w:t>
      </w:r>
      <w:r>
        <w:rPr>
          <w:rFonts w:hint="eastAsia" w:ascii="Times New Roman" w:eastAsia="仿宋_GB2312"/>
          <w:b w:val="0"/>
          <w:sz w:val="32"/>
          <w:szCs w:val="32"/>
          <w:lang w:eastAsia="zh-CN"/>
        </w:rPr>
        <w:t>部门</w:t>
      </w:r>
      <w:r>
        <w:rPr>
          <w:rFonts w:ascii="Times New Roman" w:eastAsia="仿宋_GB2312"/>
          <w:b w:val="0"/>
          <w:sz w:val="32"/>
          <w:szCs w:val="32"/>
        </w:rPr>
        <w:t>2024年度公务用车购置量0辆，发生“公务用车购置”经费支出0.00万元。公务用车购置费支出较预算</w:t>
      </w:r>
      <w:r>
        <w:rPr>
          <w:rFonts w:hint="eastAsia" w:ascii="Times New Roman" w:eastAsia="仿宋_GB2312"/>
          <w:b w:val="0"/>
          <w:sz w:val="32"/>
          <w:szCs w:val="32"/>
          <w:lang w:eastAsia="zh-CN"/>
        </w:rPr>
        <w:t>持平，</w:t>
      </w:r>
      <w:r>
        <w:rPr>
          <w:rFonts w:ascii="Times New Roman" w:eastAsia="仿宋_GB2312"/>
          <w:b w:val="0"/>
          <w:sz w:val="32"/>
          <w:szCs w:val="32"/>
        </w:rPr>
        <w:t>较上年</w:t>
      </w:r>
      <w:r>
        <w:rPr>
          <w:rFonts w:hint="eastAsia" w:ascii="Times New Roman" w:eastAsia="仿宋_GB2312"/>
          <w:b w:val="0"/>
          <w:sz w:val="32"/>
          <w:szCs w:val="32"/>
          <w:lang w:eastAsia="zh-CN"/>
        </w:rPr>
        <w:t>持平，</w:t>
      </w:r>
      <w:r>
        <w:rPr>
          <w:rFonts w:hint="eastAsia" w:ascii="FangSong_GB2312" w:hAnsi="FangSong_GB2312" w:eastAsia="FangSong_GB2312"/>
          <w:sz w:val="32"/>
        </w:rPr>
        <w:t>原因是本年</w:t>
      </w:r>
      <w:r>
        <w:rPr>
          <w:rFonts w:hint="eastAsia" w:ascii="FangSong_GB2312" w:hAnsi="FangSong_GB2312" w:eastAsia="FangSong_GB2312"/>
          <w:sz w:val="32"/>
          <w:lang w:eastAsia="zh-CN"/>
        </w:rPr>
        <w:t>无</w:t>
      </w:r>
      <w:r>
        <w:rPr>
          <w:rFonts w:hint="eastAsia" w:ascii="FangSong_GB2312" w:hAnsi="FangSong_GB2312" w:eastAsia="FangSong_GB2312"/>
          <w:sz w:val="32"/>
        </w:rPr>
        <w:t>公务用车购置费支出</w:t>
      </w:r>
      <w:r>
        <w:rPr>
          <w:rFonts w:ascii="Times New Roman" w:eastAsia="仿宋_GB2312"/>
          <w:b w:val="0"/>
          <w:sz w:val="32"/>
          <w:szCs w:val="32"/>
        </w:rPr>
        <w:t>。</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公务用车运行维护费支出2.36万元：</w:t>
      </w:r>
      <w:r>
        <w:rPr>
          <w:rFonts w:ascii="Times New Roman" w:eastAsia="仿宋_GB2312"/>
          <w:b w:val="0"/>
          <w:sz w:val="32"/>
          <w:szCs w:val="32"/>
        </w:rPr>
        <w:t>本</w:t>
      </w:r>
      <w:r>
        <w:rPr>
          <w:rFonts w:hint="eastAsia" w:ascii="Times New Roman" w:eastAsia="仿宋_GB2312"/>
          <w:b w:val="0"/>
          <w:sz w:val="32"/>
          <w:szCs w:val="32"/>
          <w:lang w:eastAsia="zh-CN"/>
        </w:rPr>
        <w:t>部门</w:t>
      </w:r>
      <w:r>
        <w:rPr>
          <w:rFonts w:ascii="Times New Roman" w:eastAsia="仿宋_GB2312"/>
          <w:b w:val="0"/>
          <w:sz w:val="32"/>
          <w:szCs w:val="32"/>
        </w:rPr>
        <w:t>2024年度</w:t>
      </w:r>
      <w:r>
        <w:rPr>
          <w:rFonts w:hint="eastAsia" w:ascii="Times New Roman" w:eastAsia="仿宋_GB2312"/>
          <w:b w:val="0"/>
          <w:sz w:val="32"/>
          <w:szCs w:val="32"/>
          <w:lang w:eastAsia="zh-CN"/>
        </w:rPr>
        <w:t>部门</w:t>
      </w:r>
      <w:r>
        <w:rPr>
          <w:rFonts w:ascii="Times New Roman" w:eastAsia="仿宋_GB2312"/>
          <w:b w:val="0"/>
          <w:sz w:val="32"/>
          <w:szCs w:val="32"/>
        </w:rPr>
        <w:t>公务用车保有量4辆，发生运行维护费支出2.36万元。公车运行维护费支出较预算减少4.64万元，降低66.3%,主要原因是；较上年减少5.11万元，降低68.4%，主要原因是</w:t>
      </w:r>
      <w:r>
        <w:rPr>
          <w:rFonts w:hint="eastAsia" w:ascii="Times New Roman" w:eastAsia="仿宋_GB2312"/>
          <w:b w:val="0"/>
          <w:sz w:val="32"/>
          <w:szCs w:val="32"/>
        </w:rPr>
        <w:t>加强公车管理，减少维护费用支出</w:t>
      </w:r>
      <w:r>
        <w:rPr>
          <w:rFonts w:ascii="Times New Roman" w:eastAsia="仿宋_GB2312"/>
          <w:b w:val="0"/>
          <w:sz w:val="32"/>
          <w:szCs w:val="32"/>
        </w:rPr>
        <w:t>。</w:t>
      </w:r>
    </w:p>
    <w:p>
      <w:pPr>
        <w:widowControl/>
        <w:spacing w:before="0" w:beforeLines="0" w:beforeAutospacing="0" w:after="0" w:afterLines="0" w:afterAutospacing="0" w:line="360" w:lineRule="auto"/>
        <w:ind w:firstLine="200" w:firstLineChars="200"/>
        <w:jc w:val="left"/>
        <w:rPr>
          <w:rFonts w:hint="eastAsia" w:ascii="Times New Roman" w:eastAsia="仿宋_GB2312"/>
          <w:b w:val="0"/>
          <w:sz w:val="32"/>
          <w:szCs w:val="32"/>
        </w:rPr>
      </w:pPr>
      <w:r>
        <w:rPr>
          <w:rFonts w:ascii="Times New Roman" w:eastAsia="楷体_GB2312"/>
          <w:b/>
          <w:sz w:val="32"/>
          <w:szCs w:val="32"/>
        </w:rPr>
        <w:t>3.公务接待费支出情况。</w:t>
      </w:r>
      <w:r>
        <w:rPr>
          <w:rFonts w:ascii="Times New Roman" w:eastAsia="仿宋_GB2312"/>
          <w:b w:val="0"/>
          <w:sz w:val="32"/>
          <w:szCs w:val="32"/>
        </w:rPr>
        <w:t>本</w:t>
      </w:r>
      <w:r>
        <w:rPr>
          <w:rFonts w:hint="eastAsia" w:ascii="Times New Roman" w:eastAsia="仿宋_GB2312"/>
          <w:b w:val="0"/>
          <w:sz w:val="32"/>
          <w:szCs w:val="32"/>
          <w:lang w:eastAsia="zh-CN"/>
        </w:rPr>
        <w:t>部门</w:t>
      </w:r>
      <w:r>
        <w:rPr>
          <w:rFonts w:ascii="Times New Roman" w:eastAsia="仿宋_GB2312"/>
          <w:b w:val="0"/>
          <w:sz w:val="32"/>
          <w:szCs w:val="32"/>
        </w:rPr>
        <w:t>2024年度公务接待费支出预算为1.20万元，支出决算0.16万元，完成预算的13.3%。公务接待费支出较预算减少1.04万元，降低86.7%,主要原因是</w:t>
      </w:r>
      <w:r>
        <w:rPr>
          <w:rFonts w:hint="eastAsia" w:ascii="Times New Roman" w:eastAsia="仿宋_GB2312"/>
          <w:b w:val="0"/>
          <w:sz w:val="32"/>
          <w:szCs w:val="32"/>
        </w:rPr>
        <w:t>厉行节</w:t>
      </w:r>
    </w:p>
    <w:p>
      <w:pPr>
        <w:widowControl/>
        <w:spacing w:before="0" w:beforeLines="0" w:beforeAutospacing="0" w:after="0" w:afterLines="0" w:afterAutospacing="0" w:line="360" w:lineRule="auto"/>
        <w:jc w:val="left"/>
        <w:rPr>
          <w:rFonts w:ascii="Times New Roman" w:eastAsia="仿宋_GB2312"/>
          <w:sz w:val="32"/>
          <w:szCs w:val="32"/>
        </w:rPr>
      </w:pPr>
      <w:r>
        <w:rPr>
          <w:rFonts w:hint="eastAsia" w:ascii="Times New Roman" w:eastAsia="仿宋_GB2312"/>
          <w:b w:val="0"/>
          <w:sz w:val="32"/>
          <w:szCs w:val="32"/>
        </w:rPr>
        <w:t>约，减少支出；</w:t>
      </w:r>
      <w:r>
        <w:rPr>
          <w:rFonts w:ascii="Times New Roman" w:eastAsia="仿宋_GB2312"/>
          <w:b w:val="0"/>
          <w:sz w:val="32"/>
          <w:szCs w:val="32"/>
        </w:rPr>
        <w:t>较上年度增加0.16万元，增长100.00%,主要原因是</w:t>
      </w:r>
      <w:r>
        <w:rPr>
          <w:rFonts w:hint="eastAsia" w:ascii="Times New Roman" w:eastAsia="仿宋_GB2312"/>
          <w:b w:val="0"/>
          <w:sz w:val="32"/>
          <w:szCs w:val="32"/>
          <w:lang w:val="en-US" w:eastAsia="zh-CN"/>
        </w:rPr>
        <w:t>2023年无公务接待费支出</w:t>
      </w:r>
      <w:r>
        <w:rPr>
          <w:rFonts w:ascii="Times New Roman" w:eastAsia="仿宋_GB2312"/>
          <w:b w:val="0"/>
          <w:sz w:val="32"/>
          <w:szCs w:val="32"/>
        </w:rPr>
        <w:t>。本年度共发生公务接待1批次、4人次。</w:t>
      </w:r>
    </w:p>
    <w:p>
      <w:pPr>
        <w:widowControl/>
        <w:spacing w:before="0" w:beforeLines="0" w:beforeAutospacing="0" w:after="0" w:afterLines="0" w:afterAutospacing="0" w:line="360" w:lineRule="auto"/>
        <w:ind w:firstLine="200" w:firstLineChars="200"/>
        <w:jc w:val="left"/>
        <w:outlineLvl w:val="1"/>
        <w:rPr>
          <w:rFonts w:ascii="Times New Roman" w:eastAsia="黑体"/>
          <w:sz w:val="32"/>
          <w:szCs w:val="32"/>
        </w:rPr>
      </w:pPr>
      <w:r>
        <w:rPr>
          <w:rFonts w:ascii="Times New Roman" w:eastAsia="黑体"/>
          <w:b w:val="0"/>
          <w:sz w:val="32"/>
          <w:szCs w:val="32"/>
        </w:rPr>
        <w:t>六、机关运行经费支出说明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本</w:t>
      </w:r>
      <w:r>
        <w:rPr>
          <w:rFonts w:hint="eastAsia" w:ascii="Times New Roman" w:eastAsia="仿宋_GB2312"/>
          <w:b w:val="0"/>
          <w:sz w:val="32"/>
          <w:szCs w:val="32"/>
          <w:lang w:eastAsia="zh-CN"/>
        </w:rPr>
        <w:t>部门</w:t>
      </w:r>
      <w:r>
        <w:rPr>
          <w:rFonts w:ascii="Times New Roman" w:eastAsia="仿宋_GB2312"/>
          <w:b w:val="0"/>
          <w:sz w:val="32"/>
          <w:szCs w:val="32"/>
        </w:rPr>
        <w:t>2024年度机关运行经费支出317.65万元，较2023年度减少30.26万元，降低8.7%。主要原因是</w:t>
      </w:r>
      <w:r>
        <w:rPr>
          <w:rFonts w:hint="eastAsia" w:ascii="Times New Roman" w:eastAsia="仿宋_GB2312"/>
          <w:b w:val="0"/>
          <w:sz w:val="32"/>
          <w:szCs w:val="32"/>
          <w:lang w:eastAsia="zh-CN"/>
        </w:rPr>
        <w:t>根据财政“过紧日子”的要求，</w:t>
      </w:r>
      <w:r>
        <w:rPr>
          <w:rFonts w:hint="eastAsia" w:ascii="Times New Roman" w:eastAsia="仿宋_GB2312"/>
          <w:b w:val="0"/>
          <w:sz w:val="32"/>
          <w:szCs w:val="32"/>
        </w:rPr>
        <w:t>厉行节约，</w:t>
      </w:r>
      <w:r>
        <w:rPr>
          <w:rFonts w:hint="eastAsia" w:ascii="Times New Roman" w:eastAsia="仿宋_GB2312"/>
          <w:b w:val="0"/>
          <w:sz w:val="32"/>
          <w:szCs w:val="32"/>
          <w:lang w:eastAsia="zh-CN"/>
        </w:rPr>
        <w:t>提高效率，</w:t>
      </w:r>
      <w:r>
        <w:rPr>
          <w:rFonts w:hint="eastAsia" w:ascii="Times New Roman" w:eastAsia="仿宋_GB2312"/>
          <w:b w:val="0"/>
          <w:sz w:val="32"/>
          <w:szCs w:val="32"/>
        </w:rPr>
        <w:t>减少</w:t>
      </w:r>
      <w:r>
        <w:rPr>
          <w:rFonts w:hint="eastAsia" w:ascii="Times New Roman" w:eastAsia="仿宋_GB2312"/>
          <w:b w:val="0"/>
          <w:sz w:val="32"/>
          <w:szCs w:val="32"/>
          <w:lang w:eastAsia="zh-CN"/>
        </w:rPr>
        <w:t>机关运行经费的</w:t>
      </w:r>
      <w:r>
        <w:rPr>
          <w:rFonts w:hint="eastAsia" w:ascii="Times New Roman" w:eastAsia="仿宋_GB2312"/>
          <w:b w:val="0"/>
          <w:sz w:val="32"/>
          <w:szCs w:val="32"/>
        </w:rPr>
        <w:t>支出</w:t>
      </w:r>
      <w:r>
        <w:rPr>
          <w:rFonts w:ascii="Times New Roman" w:eastAsia="仿宋_GB2312"/>
          <w:b w:val="0"/>
          <w:sz w:val="32"/>
          <w:szCs w:val="32"/>
        </w:rPr>
        <w:t>。</w:t>
      </w:r>
    </w:p>
    <w:p>
      <w:pPr>
        <w:widowControl/>
        <w:spacing w:before="0" w:beforeLines="0" w:beforeAutospacing="0" w:after="0" w:afterLines="0" w:afterAutospacing="0" w:line="360" w:lineRule="auto"/>
        <w:ind w:firstLine="200" w:firstLineChars="200"/>
        <w:jc w:val="left"/>
        <w:outlineLvl w:val="1"/>
        <w:rPr>
          <w:rFonts w:ascii="Times New Roman" w:eastAsia="黑体"/>
          <w:sz w:val="32"/>
          <w:szCs w:val="32"/>
        </w:rPr>
      </w:pPr>
      <w:r>
        <w:rPr>
          <w:rFonts w:ascii="Times New Roman" w:eastAsia="黑体"/>
          <w:b w:val="0"/>
          <w:sz w:val="32"/>
          <w:szCs w:val="32"/>
        </w:rPr>
        <w:t>七、政府采购支出说明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本</w:t>
      </w:r>
      <w:r>
        <w:rPr>
          <w:rFonts w:hint="eastAsia" w:ascii="Times New Roman" w:eastAsia="仿宋_GB2312"/>
          <w:b w:val="0"/>
          <w:sz w:val="32"/>
          <w:szCs w:val="32"/>
          <w:lang w:eastAsia="zh-CN"/>
        </w:rPr>
        <w:t>部门</w:t>
      </w:r>
      <w:r>
        <w:rPr>
          <w:rFonts w:ascii="Times New Roman" w:eastAsia="仿宋_GB2312"/>
          <w:b w:val="0"/>
          <w:sz w:val="32"/>
          <w:szCs w:val="32"/>
        </w:rPr>
        <w:t>2024年度政府采购支出总额</w:t>
      </w:r>
      <w:r>
        <w:rPr>
          <w:rFonts w:hint="eastAsia" w:ascii="Times New Roman" w:eastAsia="仿宋_GB2312"/>
          <w:b w:val="0"/>
          <w:sz w:val="32"/>
          <w:szCs w:val="32"/>
          <w:lang w:val="en-US" w:eastAsia="zh-CN"/>
        </w:rPr>
        <w:t>322.87</w:t>
      </w:r>
      <w:r>
        <w:rPr>
          <w:rFonts w:ascii="Times New Roman" w:eastAsia="仿宋_GB2312"/>
          <w:b w:val="0"/>
          <w:sz w:val="32"/>
          <w:szCs w:val="32"/>
        </w:rPr>
        <w:t>万元，从采购类型来看，政府采购货物支出</w:t>
      </w:r>
      <w:r>
        <w:rPr>
          <w:rFonts w:hint="eastAsia" w:ascii="Times New Roman" w:eastAsia="仿宋_GB2312"/>
          <w:b w:val="0"/>
          <w:sz w:val="32"/>
          <w:szCs w:val="32"/>
          <w:lang w:val="en-US" w:eastAsia="zh-CN"/>
        </w:rPr>
        <w:t>122.29</w:t>
      </w:r>
      <w:r>
        <w:rPr>
          <w:rFonts w:ascii="Times New Roman" w:eastAsia="仿宋_GB2312"/>
          <w:b w:val="0"/>
          <w:sz w:val="32"/>
          <w:szCs w:val="32"/>
        </w:rPr>
        <w:t>万元、政府采购工程支出0.00万元、政府采购服务支出</w:t>
      </w:r>
      <w:r>
        <w:rPr>
          <w:rFonts w:hint="eastAsia" w:ascii="Times New Roman" w:eastAsia="仿宋_GB2312"/>
          <w:b w:val="0"/>
          <w:sz w:val="32"/>
          <w:szCs w:val="32"/>
          <w:lang w:val="en-US" w:eastAsia="zh-CN"/>
        </w:rPr>
        <w:t>200.58</w:t>
      </w:r>
      <w:r>
        <w:rPr>
          <w:rFonts w:ascii="Times New Roman" w:eastAsia="仿宋_GB2312"/>
          <w:b w:val="0"/>
          <w:sz w:val="32"/>
          <w:szCs w:val="32"/>
        </w:rPr>
        <w:t>万元。授予中小企业合同金额</w:t>
      </w:r>
      <w:r>
        <w:rPr>
          <w:rFonts w:hint="eastAsia" w:ascii="Times New Roman" w:eastAsia="仿宋_GB2312"/>
          <w:b w:val="0"/>
          <w:sz w:val="32"/>
          <w:szCs w:val="32"/>
          <w:lang w:val="en-US" w:eastAsia="zh-CN"/>
        </w:rPr>
        <w:t>322.87</w:t>
      </w:r>
      <w:r>
        <w:rPr>
          <w:rFonts w:ascii="Times New Roman" w:eastAsia="仿宋_GB2312"/>
          <w:b w:val="0"/>
          <w:sz w:val="32"/>
          <w:szCs w:val="32"/>
        </w:rPr>
        <w:t>万元，占政府采购支出总额的100.0%，其中授予小微企业合同金额</w:t>
      </w:r>
      <w:r>
        <w:rPr>
          <w:rFonts w:hint="eastAsia" w:ascii="Times New Roman" w:eastAsia="仿宋_GB2312"/>
          <w:b w:val="0"/>
          <w:sz w:val="32"/>
          <w:szCs w:val="32"/>
          <w:lang w:val="en-US" w:eastAsia="zh-CN"/>
        </w:rPr>
        <w:t>322.87</w:t>
      </w:r>
      <w:r>
        <w:rPr>
          <w:rFonts w:ascii="Times New Roman" w:eastAsia="仿宋_GB2312"/>
          <w:b w:val="0"/>
          <w:sz w:val="32"/>
          <w:szCs w:val="32"/>
        </w:rPr>
        <w:t>万元，占政府采购支出总额的100.0%。</w:t>
      </w:r>
    </w:p>
    <w:p>
      <w:pPr>
        <w:widowControl/>
        <w:spacing w:before="0" w:beforeLines="0" w:beforeAutospacing="0" w:after="0" w:afterLines="0" w:afterAutospacing="0" w:line="360" w:lineRule="auto"/>
        <w:ind w:firstLine="200" w:firstLineChars="200"/>
        <w:jc w:val="left"/>
        <w:outlineLvl w:val="1"/>
        <w:rPr>
          <w:rFonts w:ascii="Times New Roman" w:eastAsia="黑体"/>
          <w:sz w:val="32"/>
          <w:szCs w:val="32"/>
        </w:rPr>
      </w:pPr>
      <w:r>
        <w:rPr>
          <w:rFonts w:ascii="Times New Roman" w:eastAsia="黑体"/>
          <w:b w:val="0"/>
          <w:sz w:val="32"/>
          <w:szCs w:val="32"/>
        </w:rPr>
        <w:t>八、国有资产占用情况说明</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Times New Roman" w:eastAsia="仿宋_GB2312"/>
          <w:sz w:val="32"/>
          <w:szCs w:val="32"/>
        </w:rPr>
      </w:pPr>
      <w:r>
        <w:rPr>
          <w:rFonts w:ascii="Times New Roman" w:eastAsia="仿宋_GB2312"/>
          <w:b w:val="0"/>
          <w:sz w:val="32"/>
          <w:szCs w:val="32"/>
        </w:rPr>
        <w:t>截至2024年12月31日，本</w:t>
      </w:r>
      <w:r>
        <w:rPr>
          <w:rFonts w:hint="eastAsia" w:ascii="Times New Roman" w:eastAsia="仿宋_GB2312"/>
          <w:b w:val="0"/>
          <w:sz w:val="32"/>
          <w:szCs w:val="32"/>
          <w:lang w:eastAsia="zh-CN"/>
        </w:rPr>
        <w:t>部门</w:t>
      </w:r>
      <w:r>
        <w:rPr>
          <w:rFonts w:ascii="Times New Roman" w:eastAsia="仿宋_GB2312"/>
          <w:b w:val="0"/>
          <w:sz w:val="32"/>
          <w:szCs w:val="32"/>
        </w:rPr>
        <w:t>共有车辆4辆，</w:t>
      </w:r>
      <w:r>
        <w:rPr>
          <w:rFonts w:hint="eastAsia" w:ascii="FangSong_GB2312" w:hAnsi="FangSong_GB2312" w:eastAsia="FangSong_GB2312"/>
          <w:sz w:val="32"/>
        </w:rPr>
        <w:t>比上年无增减变化</w:t>
      </w:r>
      <w:r>
        <w:rPr>
          <w:rFonts w:ascii="Times New Roman" w:eastAsia="仿宋_GB2312"/>
          <w:b w:val="0"/>
          <w:sz w:val="32"/>
          <w:szCs w:val="32"/>
        </w:rPr>
        <w:t>。其中，副部（省）级及以上领导用车0辆，主要负责人用车0辆，机要通信用车1辆，应急保障用车1辆，执法执勤用车0辆，特种专业技术用车0辆，离退休干部用车2辆，其他用车0辆。</w:t>
      </w:r>
      <w:r>
        <w:rPr>
          <w:rFonts w:hint="eastAsia" w:ascii="Times New Roman" w:eastAsia="仿宋_GB2312"/>
          <w:b w:val="0"/>
          <w:sz w:val="32"/>
          <w:szCs w:val="32"/>
          <w:lang w:eastAsia="zh-CN"/>
        </w:rPr>
        <w:t>部门</w:t>
      </w:r>
      <w:r>
        <w:rPr>
          <w:rFonts w:ascii="Times New Roman" w:eastAsia="仿宋_GB2312"/>
          <w:b w:val="0"/>
          <w:sz w:val="32"/>
          <w:szCs w:val="32"/>
        </w:rPr>
        <w:t>价值100万元（含）以上设备（不含车辆）1台（套）。</w:t>
      </w:r>
    </w:p>
    <w:p>
      <w:pPr>
        <w:widowControl/>
        <w:spacing w:before="0" w:beforeLines="0" w:beforeAutospacing="0" w:after="0" w:afterLines="0" w:afterAutospacing="0" w:line="360" w:lineRule="auto"/>
        <w:ind w:firstLine="200" w:firstLineChars="200"/>
        <w:jc w:val="left"/>
        <w:outlineLvl w:val="1"/>
        <w:rPr>
          <w:rFonts w:ascii="Times New Roman" w:eastAsia="黑体"/>
          <w:sz w:val="32"/>
          <w:szCs w:val="32"/>
        </w:rPr>
      </w:pPr>
      <w:r>
        <w:rPr>
          <w:rFonts w:ascii="Times New Roman" w:eastAsia="黑体"/>
          <w:b w:val="0"/>
          <w:sz w:val="32"/>
          <w:szCs w:val="32"/>
        </w:rPr>
        <w:t>九、关于2024年度绩效评价情况的说明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（一）绩效评价工作开展情况</w:t>
      </w:r>
    </w:p>
    <w:p>
      <w:pPr>
        <w:keepNext w:val="0"/>
        <w:keepLines w:val="0"/>
        <w:pageBreakBefore w:val="0"/>
        <w:widowControl/>
        <w:kinsoku/>
        <w:wordWrap/>
        <w:overflowPunct/>
        <w:topLinePunct w:val="0"/>
        <w:autoSpaceDE/>
        <w:autoSpaceDN/>
        <w:bidi w:val="0"/>
        <w:adjustRightInd/>
        <w:spacing w:before="0" w:beforeLines="0" w:beforeAutospacing="0" w:after="0" w:afterLines="0" w:afterAutospacing="0" w:line="240" w:lineRule="auto"/>
        <w:ind w:left="0" w:leftChars="0" w:right="0" w:rightChars="0" w:firstLine="200" w:firstLineChars="200"/>
        <w:jc w:val="left"/>
        <w:textAlignment w:val="auto"/>
        <w:rPr>
          <w:rFonts w:ascii="Times New Roman" w:eastAsia="仿宋_GB2312"/>
          <w:sz w:val="32"/>
          <w:szCs w:val="32"/>
        </w:rPr>
      </w:pPr>
      <w:r>
        <w:rPr>
          <w:rFonts w:ascii="Times New Roman" w:eastAsia="仿宋_GB2312"/>
          <w:b w:val="0"/>
          <w:sz w:val="32"/>
          <w:szCs w:val="32"/>
        </w:rPr>
        <w:t>根据预算绩效管理要求，本</w:t>
      </w:r>
      <w:r>
        <w:rPr>
          <w:rFonts w:hint="eastAsia" w:ascii="Times New Roman" w:eastAsia="仿宋_GB2312"/>
          <w:b w:val="0"/>
          <w:sz w:val="32"/>
          <w:szCs w:val="32"/>
          <w:lang w:eastAsia="zh-CN"/>
        </w:rPr>
        <w:t>部门</w:t>
      </w:r>
      <w:r>
        <w:rPr>
          <w:rFonts w:ascii="Times New Roman" w:eastAsia="仿宋_GB2312"/>
          <w:b w:val="0"/>
          <w:sz w:val="32"/>
          <w:szCs w:val="32"/>
        </w:rPr>
        <w:t>组织对2024年度本级预算项目支出全面开展绩效自评，共涉及资金</w:t>
      </w:r>
      <w:r>
        <w:rPr>
          <w:rFonts w:hint="eastAsia" w:ascii="仿宋_GB2312" w:hAnsi="仿宋" w:eastAsia="仿宋_GB2312" w:cs="黑体"/>
          <w:color w:val="auto"/>
          <w:sz w:val="32"/>
          <w:szCs w:val="32"/>
          <w:lang w:val="en-US" w:eastAsia="zh-CN"/>
        </w:rPr>
        <w:t>922.51</w:t>
      </w:r>
      <w:r>
        <w:rPr>
          <w:rFonts w:ascii="Times New Roman" w:eastAsia="仿宋_GB2312"/>
          <w:b w:val="0"/>
          <w:sz w:val="32"/>
          <w:szCs w:val="32"/>
        </w:rPr>
        <w:t>万元（决算金额）。其中，一般公共预算项目</w:t>
      </w:r>
      <w:r>
        <w:rPr>
          <w:rFonts w:hint="eastAsia" w:ascii="Times New Roman" w:eastAsia="仿宋_GB2312"/>
          <w:b w:val="0"/>
          <w:sz w:val="32"/>
          <w:szCs w:val="32"/>
          <w:lang w:val="en-US" w:eastAsia="zh-CN"/>
        </w:rPr>
        <w:t>9</w:t>
      </w:r>
      <w:r>
        <w:rPr>
          <w:rFonts w:ascii="Times New Roman" w:eastAsia="仿宋_GB2312"/>
          <w:b w:val="0"/>
          <w:sz w:val="32"/>
          <w:szCs w:val="32"/>
        </w:rPr>
        <w:t>个，涉及资金</w:t>
      </w:r>
      <w:r>
        <w:rPr>
          <w:rFonts w:hint="eastAsia" w:ascii="仿宋_GB2312" w:hAnsi="仿宋" w:eastAsia="仿宋_GB2312" w:cs="黑体"/>
          <w:color w:val="auto"/>
          <w:sz w:val="32"/>
          <w:szCs w:val="32"/>
          <w:lang w:val="en-US" w:eastAsia="zh-CN"/>
        </w:rPr>
        <w:t>922.51</w:t>
      </w:r>
      <w:r>
        <w:rPr>
          <w:rFonts w:ascii="Times New Roman" w:eastAsia="仿宋_GB2312"/>
          <w:b w:val="0"/>
          <w:sz w:val="32"/>
          <w:szCs w:val="32"/>
        </w:rPr>
        <w:t>万元，占一般公共预算项目支出总额的</w:t>
      </w:r>
      <w:r>
        <w:rPr>
          <w:rFonts w:hint="eastAsia" w:ascii="Times New Roman" w:eastAsia="仿宋_GB2312"/>
          <w:b w:val="0"/>
          <w:sz w:val="32"/>
          <w:szCs w:val="32"/>
          <w:lang w:val="en-US" w:eastAsia="zh-CN"/>
        </w:rPr>
        <w:t>100</w:t>
      </w:r>
      <w:r>
        <w:rPr>
          <w:rFonts w:ascii="Times New Roman" w:eastAsia="仿宋_GB2312"/>
          <w:b w:val="0"/>
          <w:sz w:val="32"/>
          <w:szCs w:val="32"/>
        </w:rPr>
        <w:t>%；政府性基金预算项目</w:t>
      </w:r>
      <w:r>
        <w:rPr>
          <w:rFonts w:hint="eastAsia" w:ascii="Times New Roman" w:eastAsia="仿宋_GB2312"/>
          <w:b w:val="0"/>
          <w:sz w:val="32"/>
          <w:szCs w:val="32"/>
          <w:lang w:val="en-US" w:eastAsia="zh-CN"/>
        </w:rPr>
        <w:t>0</w:t>
      </w:r>
      <w:r>
        <w:rPr>
          <w:rFonts w:ascii="Times New Roman" w:eastAsia="仿宋_GB2312"/>
          <w:b w:val="0"/>
          <w:sz w:val="32"/>
          <w:szCs w:val="32"/>
        </w:rPr>
        <w:t>个，涉及资金</w:t>
      </w:r>
      <w:r>
        <w:rPr>
          <w:rFonts w:hint="eastAsia" w:ascii="Times New Roman" w:eastAsia="仿宋_GB2312"/>
          <w:b w:val="0"/>
          <w:sz w:val="32"/>
          <w:szCs w:val="32"/>
          <w:lang w:val="en-US" w:eastAsia="zh-CN"/>
        </w:rPr>
        <w:t>0</w:t>
      </w:r>
      <w:r>
        <w:rPr>
          <w:rFonts w:ascii="Times New Roman" w:eastAsia="仿宋_GB2312"/>
          <w:b w:val="0"/>
          <w:sz w:val="32"/>
          <w:szCs w:val="32"/>
        </w:rPr>
        <w:t>万元，占政府性基金预算项目支出总额的</w:t>
      </w:r>
      <w:r>
        <w:rPr>
          <w:rFonts w:hint="eastAsia" w:ascii="Times New Roman" w:eastAsia="仿宋_GB2312"/>
          <w:b w:val="0"/>
          <w:sz w:val="32"/>
          <w:szCs w:val="32"/>
          <w:lang w:val="en-US" w:eastAsia="zh-CN"/>
        </w:rPr>
        <w:t>0</w:t>
      </w:r>
      <w:r>
        <w:rPr>
          <w:rFonts w:ascii="Times New Roman" w:eastAsia="仿宋_GB2312"/>
          <w:b w:val="0"/>
          <w:sz w:val="32"/>
          <w:szCs w:val="32"/>
        </w:rPr>
        <w:t>%；国有资本经营预算项目</w:t>
      </w:r>
      <w:r>
        <w:rPr>
          <w:rFonts w:hint="eastAsia" w:ascii="Times New Roman" w:eastAsia="仿宋_GB2312"/>
          <w:b w:val="0"/>
          <w:sz w:val="32"/>
          <w:szCs w:val="32"/>
          <w:lang w:val="en-US" w:eastAsia="zh-CN"/>
        </w:rPr>
        <w:t>0</w:t>
      </w:r>
      <w:r>
        <w:rPr>
          <w:rFonts w:ascii="Times New Roman" w:eastAsia="仿宋_GB2312"/>
          <w:b w:val="0"/>
          <w:sz w:val="32"/>
          <w:szCs w:val="32"/>
        </w:rPr>
        <w:t>个，涉及资金</w:t>
      </w:r>
      <w:r>
        <w:rPr>
          <w:rFonts w:hint="eastAsia" w:ascii="Times New Roman" w:eastAsia="仿宋_GB2312"/>
          <w:b w:val="0"/>
          <w:sz w:val="32"/>
          <w:szCs w:val="32"/>
          <w:lang w:val="en-US" w:eastAsia="zh-CN"/>
        </w:rPr>
        <w:t>0</w:t>
      </w:r>
      <w:r>
        <w:rPr>
          <w:rFonts w:ascii="Times New Roman" w:eastAsia="仿宋_GB2312"/>
          <w:b w:val="0"/>
          <w:sz w:val="32"/>
          <w:szCs w:val="32"/>
        </w:rPr>
        <w:t>万元，占国有资本经营预算项目支出总额的</w:t>
      </w:r>
      <w:r>
        <w:rPr>
          <w:rFonts w:hint="eastAsia" w:ascii="Times New Roman" w:eastAsia="仿宋_GB2312"/>
          <w:b w:val="0"/>
          <w:sz w:val="32"/>
          <w:szCs w:val="32"/>
          <w:lang w:val="en-US" w:eastAsia="zh-CN"/>
        </w:rPr>
        <w:t>0</w:t>
      </w:r>
      <w:r>
        <w:rPr>
          <w:rFonts w:ascii="Times New Roman" w:eastAsia="仿宋_GB2312"/>
          <w:b w:val="0"/>
          <w:sz w:val="32"/>
          <w:szCs w:val="32"/>
        </w:rPr>
        <w:t>%。</w:t>
      </w:r>
    </w:p>
    <w:p>
      <w:pPr>
        <w:keepNext w:val="0"/>
        <w:keepLines w:val="0"/>
        <w:pageBreakBefore w:val="0"/>
        <w:widowControl/>
        <w:kinsoku/>
        <w:wordWrap/>
        <w:overflowPunct/>
        <w:topLinePunct w:val="0"/>
        <w:autoSpaceDE/>
        <w:autoSpaceDN/>
        <w:bidi w:val="0"/>
        <w:adjustRightInd/>
        <w:spacing w:before="0" w:beforeLines="0" w:beforeAutospacing="0" w:after="0" w:afterLines="0" w:afterAutospacing="0" w:line="240" w:lineRule="auto"/>
        <w:ind w:left="0" w:leftChars="0" w:right="0" w:rightChars="0" w:firstLine="200" w:firstLineChars="200"/>
        <w:jc w:val="left"/>
        <w:textAlignment w:val="auto"/>
        <w:rPr>
          <w:rFonts w:ascii="Times New Roman" w:eastAsia="仿宋_GB2312"/>
          <w:b w:val="0"/>
          <w:sz w:val="32"/>
          <w:szCs w:val="32"/>
        </w:rPr>
      </w:pPr>
      <w:r>
        <w:rPr>
          <w:rFonts w:ascii="Times New Roman" w:eastAsia="仿宋_GB2312"/>
          <w:b w:val="0"/>
          <w:sz w:val="32"/>
          <w:szCs w:val="32"/>
        </w:rPr>
        <w:t>组织对</w:t>
      </w:r>
      <w:r>
        <w:rPr>
          <w:rFonts w:hint="eastAsia" w:ascii="仿宋_GB2312" w:eastAsia="仿宋_GB2312"/>
          <w:sz w:val="32"/>
          <w:szCs w:val="32"/>
        </w:rPr>
        <w:t>提前下达2024年中央审计人员培训专项补助经费项目等1</w:t>
      </w:r>
      <w:r>
        <w:rPr>
          <w:rFonts w:ascii="Times New Roman" w:eastAsia="仿宋_GB2312"/>
          <w:b w:val="0"/>
          <w:sz w:val="32"/>
          <w:szCs w:val="32"/>
        </w:rPr>
        <w:t>个项目开展了部门重点评价，涉及一般公共预算支出</w:t>
      </w:r>
      <w:r>
        <w:rPr>
          <w:rFonts w:hint="eastAsia" w:ascii="Times New Roman" w:eastAsia="仿宋_GB2312"/>
          <w:b w:val="0"/>
          <w:sz w:val="32"/>
          <w:szCs w:val="32"/>
          <w:lang w:val="en-US" w:eastAsia="zh-CN"/>
        </w:rPr>
        <w:t>20</w:t>
      </w:r>
      <w:r>
        <w:rPr>
          <w:rFonts w:ascii="Times New Roman" w:eastAsia="仿宋_GB2312"/>
          <w:b w:val="0"/>
          <w:sz w:val="32"/>
          <w:szCs w:val="32"/>
        </w:rPr>
        <w:t>万元，政府性基金预算支出</w:t>
      </w:r>
      <w:r>
        <w:rPr>
          <w:rFonts w:hint="eastAsia" w:ascii="Times New Roman" w:eastAsia="仿宋_GB2312"/>
          <w:b w:val="0"/>
          <w:sz w:val="32"/>
          <w:szCs w:val="32"/>
          <w:lang w:val="en-US" w:eastAsia="zh-CN"/>
        </w:rPr>
        <w:t>0</w:t>
      </w:r>
      <w:r>
        <w:rPr>
          <w:rFonts w:ascii="Times New Roman" w:eastAsia="仿宋_GB2312"/>
          <w:b w:val="0"/>
          <w:sz w:val="32"/>
          <w:szCs w:val="32"/>
        </w:rPr>
        <w:t>万元，国有资本经营预算支出</w:t>
      </w:r>
      <w:r>
        <w:rPr>
          <w:rFonts w:hint="eastAsia" w:ascii="Times New Roman" w:eastAsia="仿宋_GB2312"/>
          <w:b w:val="0"/>
          <w:sz w:val="32"/>
          <w:szCs w:val="32"/>
          <w:lang w:val="en-US" w:eastAsia="zh-CN"/>
        </w:rPr>
        <w:t>0</w:t>
      </w:r>
      <w:r>
        <w:rPr>
          <w:rFonts w:ascii="Times New Roman" w:eastAsia="仿宋_GB2312"/>
          <w:b w:val="0"/>
          <w:sz w:val="32"/>
          <w:szCs w:val="32"/>
        </w:rPr>
        <w:t>万元，从评价情况来看，</w:t>
      </w:r>
      <w:r>
        <w:rPr>
          <w:rFonts w:hint="eastAsia" w:ascii="仿宋_GB2312" w:eastAsia="仿宋_GB2312"/>
          <w:sz w:val="32"/>
          <w:szCs w:val="32"/>
          <w:lang w:val="en-US" w:eastAsia="zh-CN"/>
        </w:rPr>
        <w:t>实际支出资金20万元，预算执行率100%，产出指标、效益指标、满意度指标均圆满完成，资金使用依法合规，专款专用，支出内容和方向正确，符合规定要求.</w:t>
      </w:r>
    </w:p>
    <w:p>
      <w:pPr>
        <w:keepNext w:val="0"/>
        <w:keepLines w:val="0"/>
        <w:pageBreakBefore w:val="0"/>
        <w:widowControl/>
        <w:kinsoku/>
        <w:wordWrap/>
        <w:overflowPunct/>
        <w:topLinePunct w:val="0"/>
        <w:autoSpaceDE/>
        <w:autoSpaceDN/>
        <w:bidi w:val="0"/>
        <w:adjustRightInd/>
        <w:spacing w:before="0" w:beforeLines="0" w:beforeAutospacing="0" w:after="0" w:afterLines="0" w:afterAutospacing="0" w:line="240" w:lineRule="auto"/>
        <w:ind w:left="0" w:leftChars="0" w:right="0" w:rightChars="0" w:firstLine="200" w:firstLineChars="200"/>
        <w:jc w:val="left"/>
        <w:textAlignment w:val="auto"/>
        <w:rPr>
          <w:rFonts w:ascii="Times New Roman" w:eastAsia="仿宋_GB2312"/>
          <w:sz w:val="32"/>
          <w:szCs w:val="32"/>
        </w:rPr>
      </w:pPr>
      <w:r>
        <w:rPr>
          <w:rFonts w:ascii="Times New Roman" w:eastAsia="仿宋_GB2312"/>
          <w:b/>
          <w:sz w:val="32"/>
          <w:szCs w:val="32"/>
        </w:rPr>
        <w:t>（二）部门决算中项目绩效自评结果</w:t>
      </w:r>
    </w:p>
    <w:p>
      <w:pPr>
        <w:keepNext w:val="0"/>
        <w:keepLines w:val="0"/>
        <w:pageBreakBefore w:val="0"/>
        <w:widowControl/>
        <w:kinsoku/>
        <w:wordWrap/>
        <w:overflowPunct/>
        <w:topLinePunct w:val="0"/>
        <w:autoSpaceDE/>
        <w:autoSpaceDN/>
        <w:bidi w:val="0"/>
        <w:adjustRightInd/>
        <w:spacing w:before="0" w:beforeLines="0" w:beforeAutospacing="0" w:after="0" w:afterLines="0" w:afterAutospacing="0" w:line="240" w:lineRule="auto"/>
        <w:ind w:left="0" w:leftChars="0" w:right="0" w:rightChars="0" w:firstLine="200" w:firstLineChars="200"/>
        <w:jc w:val="left"/>
        <w:textAlignment w:val="auto"/>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本部门在今年部门决算公开中反映</w:t>
      </w:r>
      <w:r>
        <w:rPr>
          <w:rFonts w:hint="eastAsia" w:ascii="仿宋_GB2312" w:hAnsi="仿宋" w:eastAsia="仿宋_GB2312" w:cs="黑体"/>
          <w:color w:val="auto"/>
          <w:sz w:val="32"/>
          <w:szCs w:val="32"/>
        </w:rPr>
        <w:t>审计执法经费、数据流量和处理费、聘用审计专业人员劳务费用、提前下达202</w:t>
      </w:r>
      <w:r>
        <w:rPr>
          <w:rFonts w:hint="eastAsia" w:ascii="仿宋_GB2312" w:hAnsi="仿宋" w:eastAsia="仿宋_GB2312" w:cs="黑体"/>
          <w:color w:val="auto"/>
          <w:sz w:val="32"/>
          <w:szCs w:val="32"/>
          <w:lang w:val="en-US" w:eastAsia="zh-CN"/>
        </w:rPr>
        <w:t>4</w:t>
      </w:r>
      <w:r>
        <w:rPr>
          <w:rFonts w:hint="eastAsia" w:ascii="仿宋_GB2312" w:hAnsi="仿宋" w:eastAsia="仿宋_GB2312" w:cs="黑体"/>
          <w:color w:val="auto"/>
          <w:sz w:val="32"/>
          <w:szCs w:val="32"/>
        </w:rPr>
        <w:t>年中央审计</w:t>
      </w:r>
      <w:r>
        <w:rPr>
          <w:rFonts w:hint="eastAsia" w:ascii="仿宋_GB2312" w:hAnsi="仿宋" w:eastAsia="仿宋_GB2312" w:cs="黑体"/>
          <w:color w:val="auto"/>
          <w:sz w:val="32"/>
          <w:szCs w:val="32"/>
          <w:lang w:eastAsia="zh-CN"/>
        </w:rPr>
        <w:t>人员培训</w:t>
      </w:r>
      <w:r>
        <w:rPr>
          <w:rFonts w:hint="eastAsia" w:ascii="仿宋_GB2312" w:hAnsi="仿宋" w:eastAsia="仿宋_GB2312" w:cs="黑体"/>
          <w:color w:val="auto"/>
          <w:sz w:val="32"/>
          <w:szCs w:val="32"/>
        </w:rPr>
        <w:t>专项补助经费</w:t>
      </w:r>
      <w:r>
        <w:rPr>
          <w:rFonts w:hint="eastAsia" w:ascii="仿宋_GB2312" w:hAnsi="仿宋" w:eastAsia="仿宋_GB2312" w:cs="黑体"/>
          <w:color w:val="auto"/>
          <w:sz w:val="32"/>
          <w:szCs w:val="32"/>
          <w:lang w:eastAsia="zh-CN"/>
        </w:rPr>
        <w:t>、</w:t>
      </w:r>
      <w:r>
        <w:rPr>
          <w:rFonts w:hint="eastAsia" w:ascii="仿宋_GB2312" w:hAnsi="仿宋" w:eastAsia="仿宋_GB2312" w:cs="黑体"/>
          <w:color w:val="auto"/>
          <w:sz w:val="32"/>
          <w:szCs w:val="32"/>
        </w:rPr>
        <w:t>提前下达202</w:t>
      </w:r>
      <w:r>
        <w:rPr>
          <w:rFonts w:hint="eastAsia" w:ascii="仿宋_GB2312" w:hAnsi="仿宋" w:eastAsia="仿宋_GB2312" w:cs="黑体"/>
          <w:color w:val="auto"/>
          <w:sz w:val="32"/>
          <w:szCs w:val="32"/>
          <w:lang w:val="en-US" w:eastAsia="zh-CN"/>
        </w:rPr>
        <w:t>4</w:t>
      </w:r>
      <w:r>
        <w:rPr>
          <w:rFonts w:hint="eastAsia" w:ascii="仿宋_GB2312" w:hAnsi="仿宋" w:eastAsia="仿宋_GB2312" w:cs="黑体"/>
          <w:color w:val="auto"/>
          <w:sz w:val="32"/>
          <w:szCs w:val="32"/>
        </w:rPr>
        <w:t>年</w:t>
      </w:r>
      <w:r>
        <w:rPr>
          <w:rFonts w:hint="eastAsia" w:ascii="仿宋_GB2312" w:hAnsi="仿宋" w:eastAsia="仿宋_GB2312" w:cs="黑体"/>
          <w:color w:val="auto"/>
          <w:sz w:val="32"/>
          <w:szCs w:val="32"/>
          <w:lang w:eastAsia="zh-CN"/>
        </w:rPr>
        <w:t>信息系统运行维护专项补助</w:t>
      </w:r>
      <w:r>
        <w:rPr>
          <w:rFonts w:hint="eastAsia" w:ascii="仿宋_GB2312" w:hAnsi="仿宋" w:eastAsia="仿宋_GB2312" w:cs="黑体"/>
          <w:color w:val="auto"/>
          <w:sz w:val="32"/>
          <w:szCs w:val="32"/>
        </w:rPr>
        <w:t>经费</w:t>
      </w:r>
      <w:r>
        <w:rPr>
          <w:rFonts w:hint="eastAsia" w:ascii="仿宋_GB2312" w:hAnsi="仿宋" w:eastAsia="仿宋_GB2312" w:cs="黑体"/>
          <w:color w:val="auto"/>
          <w:sz w:val="32"/>
          <w:szCs w:val="32"/>
          <w:lang w:eastAsia="zh-CN"/>
        </w:rPr>
        <w:t>、</w:t>
      </w:r>
      <w:r>
        <w:rPr>
          <w:rFonts w:hint="eastAsia" w:ascii="仿宋_GB2312" w:hAnsi="仿宋" w:eastAsia="仿宋_GB2312" w:cs="黑体"/>
          <w:color w:val="auto"/>
          <w:sz w:val="32"/>
          <w:szCs w:val="32"/>
        </w:rPr>
        <w:t>法律咨询服务费、党组织活动经费、办公楼租赁及物业管理费、办公设备购置</w:t>
      </w:r>
      <w:r>
        <w:rPr>
          <w:rFonts w:hint="eastAsia" w:ascii="仿宋_GB2312" w:hAnsi="仿宋" w:eastAsia="仿宋_GB2312" w:cs="黑体"/>
          <w:color w:val="auto"/>
          <w:sz w:val="32"/>
          <w:szCs w:val="32"/>
          <w:lang w:eastAsia="zh-CN"/>
        </w:rPr>
        <w:t>等</w:t>
      </w:r>
      <w:r>
        <w:rPr>
          <w:rFonts w:hint="eastAsia" w:ascii="仿宋_GB2312" w:hAnsi="仿宋" w:eastAsia="仿宋_GB2312" w:cs="黑体"/>
          <w:color w:val="auto"/>
          <w:sz w:val="32"/>
          <w:szCs w:val="32"/>
          <w:lang w:val="en-US" w:eastAsia="zh-CN"/>
        </w:rPr>
        <w:t>9个项目</w:t>
      </w:r>
      <w:r>
        <w:rPr>
          <w:rFonts w:ascii="Times New Roman" w:hAnsi="Times New Roman" w:eastAsia="仿宋_GB2312" w:cs="Times New Roman"/>
          <w:sz w:val="32"/>
          <w:szCs w:val="32"/>
        </w:rPr>
        <w:t>绩效自评结果</w:t>
      </w:r>
      <w:r>
        <w:rPr>
          <w:rFonts w:hint="eastAsia"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Times New Roman" w:eastAsia="仿宋_GB2312"/>
          <w:b w:val="0"/>
          <w:sz w:val="32"/>
          <w:szCs w:val="32"/>
          <w:lang w:val="en-US" w:eastAsia="zh-CN"/>
        </w:rPr>
      </w:pPr>
      <w:r>
        <w:rPr>
          <w:rFonts w:hint="eastAsia" w:ascii="Times New Roman" w:eastAsia="仿宋_GB2312"/>
          <w:b w:val="0"/>
          <w:sz w:val="32"/>
          <w:szCs w:val="32"/>
        </w:rPr>
        <w:t>审计执法经费</w:t>
      </w:r>
      <w:r>
        <w:rPr>
          <w:rFonts w:ascii="Times New Roman" w:eastAsia="仿宋_GB2312"/>
          <w:b w:val="0"/>
          <w:sz w:val="32"/>
          <w:szCs w:val="32"/>
        </w:rPr>
        <w:t>项目绩效自评情况：根据年初设定的绩效目标，项目绩效自评得分为</w:t>
      </w:r>
      <w:r>
        <w:rPr>
          <w:rFonts w:hint="eastAsia" w:ascii="Times New Roman" w:eastAsia="仿宋_GB2312"/>
          <w:b w:val="0"/>
          <w:sz w:val="32"/>
          <w:szCs w:val="32"/>
        </w:rPr>
        <w:t>95.8</w:t>
      </w:r>
      <w:r>
        <w:rPr>
          <w:rFonts w:ascii="Times New Roman" w:eastAsia="仿宋_GB2312"/>
          <w:b w:val="0"/>
          <w:sz w:val="32"/>
          <w:szCs w:val="32"/>
        </w:rPr>
        <w:t>分（绩效自评表附后）。全年预算数为</w:t>
      </w:r>
      <w:r>
        <w:rPr>
          <w:rFonts w:hint="eastAsia" w:ascii="Times New Roman" w:eastAsia="仿宋_GB2312"/>
          <w:b w:val="0"/>
          <w:sz w:val="32"/>
          <w:szCs w:val="32"/>
          <w:lang w:val="en-US" w:eastAsia="zh-CN"/>
        </w:rPr>
        <w:t>749</w:t>
      </w:r>
      <w:r>
        <w:rPr>
          <w:rFonts w:ascii="Times New Roman" w:eastAsia="仿宋_GB2312"/>
          <w:b w:val="0"/>
          <w:sz w:val="32"/>
          <w:szCs w:val="32"/>
        </w:rPr>
        <w:t>万元，执行数为</w:t>
      </w:r>
      <w:r>
        <w:rPr>
          <w:rFonts w:hint="eastAsia" w:ascii="Times New Roman" w:eastAsia="仿宋_GB2312"/>
          <w:b w:val="0"/>
          <w:sz w:val="32"/>
          <w:szCs w:val="32"/>
        </w:rPr>
        <w:t>434.95</w:t>
      </w:r>
      <w:r>
        <w:rPr>
          <w:rFonts w:ascii="Times New Roman" w:eastAsia="仿宋_GB2312"/>
          <w:b w:val="0"/>
          <w:sz w:val="32"/>
          <w:szCs w:val="32"/>
        </w:rPr>
        <w:t>万元，完成预算的</w:t>
      </w:r>
      <w:r>
        <w:rPr>
          <w:rFonts w:hint="eastAsia" w:ascii="Times New Roman" w:eastAsia="仿宋_GB2312"/>
          <w:b w:val="0"/>
          <w:sz w:val="32"/>
          <w:szCs w:val="32"/>
          <w:lang w:val="en-US" w:eastAsia="zh-CN"/>
        </w:rPr>
        <w:t>58.07</w:t>
      </w:r>
      <w:r>
        <w:rPr>
          <w:rFonts w:ascii="Times New Roman" w:eastAsia="仿宋_GB2312"/>
          <w:b w:val="0"/>
          <w:sz w:val="32"/>
          <w:szCs w:val="32"/>
        </w:rPr>
        <w:t>%。</w:t>
      </w:r>
      <w:r>
        <w:rPr>
          <w:rFonts w:hint="eastAsia" w:ascii="Times New Roman" w:eastAsia="仿宋_GB2312"/>
          <w:b w:val="0"/>
          <w:sz w:val="32"/>
          <w:szCs w:val="32"/>
        </w:rPr>
        <w:t>通过项目实施，完成了年初设定的各项绩效目标，完成审计项目67个，查出问题金额185.07亿元，其中违规金额0.13亿元，管理不规范金额184.94亿元；审计促进增收节支4.12亿元，促进资金拨付到位1.78亿元</w:t>
      </w:r>
      <w:r>
        <w:rPr>
          <w:rFonts w:hint="eastAsia" w:ascii="Times New Roman" w:eastAsia="仿宋_GB2312"/>
          <w:b w:val="0"/>
          <w:sz w:val="32"/>
          <w:szCs w:val="32"/>
          <w:lang w:eastAsia="zh-CN"/>
        </w:rPr>
        <w:t>。</w:t>
      </w:r>
      <w:r>
        <w:rPr>
          <w:rFonts w:ascii="Times New Roman" w:eastAsia="仿宋_GB2312"/>
          <w:b w:val="0"/>
          <w:sz w:val="32"/>
          <w:szCs w:val="32"/>
        </w:rPr>
        <w:t>发现的主要问题及原因是：</w:t>
      </w:r>
      <w:r>
        <w:rPr>
          <w:rFonts w:hint="eastAsia" w:ascii="Times New Roman" w:eastAsia="仿宋_GB2312"/>
          <w:b w:val="0"/>
          <w:sz w:val="32"/>
          <w:szCs w:val="32"/>
          <w:lang w:val="en-US" w:eastAsia="zh-CN"/>
        </w:rPr>
        <w:t>审计项目较以前年度减少，同时，审计项目周期时长等审计工作实际的不确定性，造成项目支出经费减少，2024年结转正定新区国际会展中心及地下综合管廊审计项目经费131.49</w:t>
      </w:r>
      <w:bookmarkStart w:id="0" w:name="_GoBack"/>
      <w:bookmarkEnd w:id="0"/>
      <w:r>
        <w:rPr>
          <w:rFonts w:hint="eastAsia" w:ascii="Times New Roman" w:eastAsia="仿宋_GB2312"/>
          <w:b w:val="0"/>
          <w:sz w:val="32"/>
          <w:szCs w:val="32"/>
          <w:lang w:val="en-US" w:eastAsia="zh-CN"/>
        </w:rPr>
        <w:t>万元，预算执行力较以前年度偏低。</w:t>
      </w:r>
      <w:r>
        <w:rPr>
          <w:rFonts w:hint="eastAsia" w:ascii="Times New Roman" w:eastAsia="仿宋_GB2312"/>
          <w:b w:val="0"/>
          <w:sz w:val="32"/>
          <w:szCs w:val="32"/>
        </w:rPr>
        <w:t>下一步改进措施：</w:t>
      </w:r>
      <w:r>
        <w:rPr>
          <w:rFonts w:hint="eastAsia" w:ascii="Times New Roman" w:eastAsia="仿宋_GB2312"/>
          <w:b w:val="0"/>
          <w:sz w:val="32"/>
          <w:szCs w:val="32"/>
          <w:lang w:val="en-US" w:eastAsia="zh-CN"/>
        </w:rPr>
        <w:t>根据审计工作开展情况及实际资金需求，合理编制预算，科学设定绩效指标，进一步完善绩效评价结果运用机制，将评价结果作为申报下年度预算的重要依据，</w:t>
      </w:r>
      <w:r>
        <w:rPr>
          <w:rFonts w:hint="eastAsia" w:ascii="Times New Roman" w:eastAsia="仿宋_GB2312"/>
          <w:b w:val="0"/>
          <w:sz w:val="32"/>
          <w:szCs w:val="32"/>
          <w:lang w:val="zh-CN" w:eastAsia="zh-CN"/>
        </w:rPr>
        <w:t>优化项目支出结构方面</w:t>
      </w:r>
      <w:r>
        <w:rPr>
          <w:rFonts w:hint="eastAsia" w:ascii="Times New Roman" w:eastAsia="仿宋_GB2312"/>
          <w:b w:val="0"/>
          <w:sz w:val="32"/>
          <w:szCs w:val="32"/>
          <w:lang w:val="en-US" w:eastAsia="zh-CN"/>
        </w:rPr>
        <w:t>，提高资金使用效益。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Times New Roman" w:eastAsia="仿宋_GB2312"/>
          <w:b w:val="0"/>
          <w:sz w:val="32"/>
          <w:szCs w:val="32"/>
        </w:rPr>
      </w:pPr>
      <w:r>
        <w:rPr>
          <w:rFonts w:hint="eastAsia" w:ascii="Times New Roman" w:eastAsia="仿宋_GB2312"/>
          <w:b w:val="0"/>
          <w:sz w:val="32"/>
          <w:szCs w:val="32"/>
        </w:rPr>
        <w:t>数据流量和处理费项目绩效自评情况：根据年初设定的绩效目标，项目绩效自评得分为</w:t>
      </w:r>
      <w:r>
        <w:rPr>
          <w:rFonts w:hint="eastAsia" w:ascii="Times New Roman" w:eastAsia="仿宋_GB2312"/>
          <w:b w:val="0"/>
          <w:sz w:val="32"/>
          <w:szCs w:val="32"/>
          <w:lang w:val="en-US" w:eastAsia="zh-CN"/>
        </w:rPr>
        <w:t>97.2</w:t>
      </w:r>
      <w:r>
        <w:rPr>
          <w:rFonts w:hint="eastAsia" w:ascii="Times New Roman" w:eastAsia="仿宋_GB2312"/>
          <w:b w:val="0"/>
          <w:sz w:val="32"/>
          <w:szCs w:val="32"/>
        </w:rPr>
        <w:t>分（绩效自评表附后）。全年预算数为</w:t>
      </w:r>
      <w:r>
        <w:rPr>
          <w:rFonts w:hint="eastAsia" w:ascii="Times New Roman" w:eastAsia="仿宋_GB2312"/>
          <w:b w:val="0"/>
          <w:sz w:val="32"/>
          <w:szCs w:val="32"/>
          <w:lang w:val="en-US" w:eastAsia="zh-CN"/>
        </w:rPr>
        <w:t>120.80</w:t>
      </w:r>
      <w:r>
        <w:rPr>
          <w:rFonts w:hint="eastAsia" w:ascii="Times New Roman" w:eastAsia="仿宋_GB2312"/>
          <w:b w:val="0"/>
          <w:sz w:val="32"/>
          <w:szCs w:val="32"/>
        </w:rPr>
        <w:t>万元，执行数为</w:t>
      </w:r>
      <w:r>
        <w:rPr>
          <w:rFonts w:hint="eastAsia" w:ascii="Times New Roman" w:eastAsia="仿宋_GB2312"/>
          <w:b w:val="0"/>
          <w:sz w:val="32"/>
          <w:szCs w:val="32"/>
          <w:lang w:val="en-US" w:eastAsia="zh-CN"/>
        </w:rPr>
        <w:t>110.66</w:t>
      </w:r>
      <w:r>
        <w:rPr>
          <w:rFonts w:hint="eastAsia" w:ascii="Times New Roman" w:eastAsia="仿宋_GB2312"/>
          <w:b w:val="0"/>
          <w:sz w:val="32"/>
          <w:szCs w:val="32"/>
        </w:rPr>
        <w:t>万元，完成预算的</w:t>
      </w:r>
      <w:r>
        <w:rPr>
          <w:rFonts w:hint="eastAsia" w:ascii="Times New Roman" w:eastAsia="仿宋_GB2312"/>
          <w:b w:val="0"/>
          <w:sz w:val="32"/>
          <w:szCs w:val="32"/>
          <w:lang w:val="en-US" w:eastAsia="zh-CN"/>
        </w:rPr>
        <w:t>91.61</w:t>
      </w:r>
      <w:r>
        <w:rPr>
          <w:rFonts w:hint="eastAsia" w:ascii="Times New Roman" w:eastAsia="仿宋_GB2312"/>
          <w:b w:val="0"/>
          <w:sz w:val="32"/>
          <w:szCs w:val="32"/>
        </w:rPr>
        <w:t>%。通过项目实施，购买数据流量和处理服务，保障计算机技术与管理需求和业务需求有效结合，达到提高审计业务人力技术、数据资源的整合力度效果，确保审计数据的安全性，提高数据存储和计算能力，加强大数据环境下的审计作业能力，提高审计效能和质量。提取数据</w:t>
      </w:r>
      <w:r>
        <w:rPr>
          <w:rFonts w:hint="eastAsia" w:ascii="Times New Roman" w:eastAsia="仿宋_GB2312"/>
          <w:b w:val="0"/>
          <w:sz w:val="32"/>
          <w:szCs w:val="32"/>
          <w:lang w:eastAsia="zh-CN"/>
        </w:rPr>
        <w:t>部门</w:t>
      </w:r>
      <w:r>
        <w:rPr>
          <w:rFonts w:hint="eastAsia" w:ascii="Times New Roman" w:eastAsia="仿宋_GB2312"/>
          <w:b w:val="0"/>
          <w:sz w:val="32"/>
          <w:szCs w:val="32"/>
        </w:rPr>
        <w:t>数量1413个，采集转换标准数据315G，生成财务标准数据库13.9GB；数据处理准确率达到100%</w:t>
      </w:r>
      <w:r>
        <w:rPr>
          <w:rFonts w:hint="eastAsia" w:ascii="Times New Roman" w:eastAsia="仿宋_GB2312"/>
          <w:b w:val="0"/>
          <w:sz w:val="32"/>
          <w:szCs w:val="32"/>
          <w:lang w:eastAsia="zh-CN"/>
        </w:rPr>
        <w:t>。</w:t>
      </w:r>
      <w:r>
        <w:rPr>
          <w:rFonts w:hint="eastAsia" w:ascii="Times New Roman" w:eastAsia="仿宋_GB2312"/>
          <w:b w:val="0"/>
          <w:sz w:val="32"/>
          <w:szCs w:val="32"/>
        </w:rPr>
        <w:t>未发现问题。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Times New Roman" w:eastAsia="仿宋_GB2312"/>
          <w:b w:val="0"/>
          <w:sz w:val="32"/>
          <w:szCs w:val="32"/>
        </w:rPr>
      </w:pPr>
      <w:r>
        <w:rPr>
          <w:rFonts w:hint="eastAsia" w:ascii="Times New Roman" w:eastAsia="仿宋_GB2312"/>
          <w:b w:val="0"/>
          <w:sz w:val="32"/>
          <w:szCs w:val="32"/>
        </w:rPr>
        <w:t>聘用审计专业人员劳务费用项目绩效自评情况：根据年初设定的绩效目标，项目绩效自评得分为</w:t>
      </w:r>
      <w:r>
        <w:rPr>
          <w:rFonts w:hint="eastAsia" w:ascii="Times New Roman" w:eastAsia="仿宋_GB2312"/>
          <w:b w:val="0"/>
          <w:sz w:val="32"/>
          <w:szCs w:val="32"/>
          <w:lang w:val="en-US" w:eastAsia="zh-CN"/>
        </w:rPr>
        <w:t>100</w:t>
      </w:r>
      <w:r>
        <w:rPr>
          <w:rFonts w:hint="eastAsia" w:ascii="Times New Roman" w:eastAsia="仿宋_GB2312"/>
          <w:b w:val="0"/>
          <w:sz w:val="32"/>
          <w:szCs w:val="32"/>
        </w:rPr>
        <w:t>分（绩效自评表附后）。全年预算数为</w:t>
      </w:r>
      <w:r>
        <w:rPr>
          <w:rFonts w:hint="eastAsia" w:ascii="Times New Roman" w:eastAsia="仿宋_GB2312"/>
          <w:b w:val="0"/>
          <w:sz w:val="32"/>
          <w:szCs w:val="32"/>
          <w:lang w:val="en-US" w:eastAsia="zh-CN"/>
        </w:rPr>
        <w:t>75.88</w:t>
      </w:r>
      <w:r>
        <w:rPr>
          <w:rFonts w:hint="eastAsia" w:ascii="Times New Roman" w:eastAsia="仿宋_GB2312"/>
          <w:b w:val="0"/>
          <w:sz w:val="32"/>
          <w:szCs w:val="32"/>
        </w:rPr>
        <w:t>万元，执行数为</w:t>
      </w:r>
      <w:r>
        <w:rPr>
          <w:rFonts w:hint="eastAsia" w:ascii="Times New Roman" w:eastAsia="仿宋_GB2312"/>
          <w:b w:val="0"/>
          <w:sz w:val="32"/>
          <w:szCs w:val="32"/>
          <w:lang w:val="en-US" w:eastAsia="zh-CN"/>
        </w:rPr>
        <w:t>75.88</w:t>
      </w:r>
      <w:r>
        <w:rPr>
          <w:rFonts w:hint="eastAsia" w:ascii="Times New Roman" w:eastAsia="仿宋_GB2312"/>
          <w:b w:val="0"/>
          <w:sz w:val="32"/>
          <w:szCs w:val="32"/>
        </w:rPr>
        <w:t>万元，完成预算的</w:t>
      </w:r>
      <w:r>
        <w:rPr>
          <w:rFonts w:hint="eastAsia" w:ascii="Times New Roman" w:eastAsia="仿宋_GB2312"/>
          <w:b w:val="0"/>
          <w:sz w:val="32"/>
          <w:szCs w:val="32"/>
          <w:lang w:val="en-US" w:eastAsia="zh-CN"/>
        </w:rPr>
        <w:t>100</w:t>
      </w:r>
      <w:r>
        <w:rPr>
          <w:rFonts w:hint="eastAsia" w:ascii="Times New Roman" w:eastAsia="仿宋_GB2312"/>
          <w:b w:val="0"/>
          <w:sz w:val="32"/>
          <w:szCs w:val="32"/>
        </w:rPr>
        <w:t>%。通过项目实施，聘用劳务派遣人员</w:t>
      </w:r>
      <w:r>
        <w:rPr>
          <w:rFonts w:hint="eastAsia" w:ascii="Times New Roman" w:eastAsia="仿宋_GB2312"/>
          <w:b w:val="0"/>
          <w:sz w:val="32"/>
          <w:szCs w:val="32"/>
          <w:lang w:val="en-US" w:eastAsia="zh-CN"/>
        </w:rPr>
        <w:t>18</w:t>
      </w:r>
      <w:r>
        <w:rPr>
          <w:rFonts w:hint="eastAsia" w:ascii="Times New Roman" w:eastAsia="仿宋_GB2312"/>
          <w:b w:val="0"/>
          <w:sz w:val="32"/>
          <w:szCs w:val="32"/>
        </w:rPr>
        <w:t>人，加强审计力量，提高审计业务质量。未发现问题。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Times New Roman" w:eastAsia="仿宋_GB2312"/>
          <w:b w:val="0"/>
          <w:sz w:val="32"/>
          <w:szCs w:val="32"/>
        </w:rPr>
      </w:pPr>
      <w:r>
        <w:rPr>
          <w:rFonts w:hint="eastAsia" w:ascii="Times New Roman" w:eastAsia="仿宋_GB2312"/>
          <w:b w:val="0"/>
          <w:sz w:val="32"/>
          <w:szCs w:val="32"/>
        </w:rPr>
        <w:t>提前下达202</w:t>
      </w:r>
      <w:r>
        <w:rPr>
          <w:rFonts w:hint="eastAsia" w:ascii="Times New Roman" w:eastAsia="仿宋_GB2312"/>
          <w:b w:val="0"/>
          <w:sz w:val="32"/>
          <w:szCs w:val="32"/>
          <w:lang w:val="en-US" w:eastAsia="zh-CN"/>
        </w:rPr>
        <w:t>4</w:t>
      </w:r>
      <w:r>
        <w:rPr>
          <w:rFonts w:hint="eastAsia" w:ascii="Times New Roman" w:eastAsia="仿宋_GB2312"/>
          <w:b w:val="0"/>
          <w:sz w:val="32"/>
          <w:szCs w:val="32"/>
        </w:rPr>
        <w:t>年中央审计专项补助经费项目绩效自评情况：根据年初设定的绩效目标，项目绩效自评得分为</w:t>
      </w:r>
      <w:r>
        <w:rPr>
          <w:rFonts w:hint="eastAsia" w:ascii="Times New Roman" w:eastAsia="仿宋_GB2312"/>
          <w:b w:val="0"/>
          <w:sz w:val="32"/>
          <w:szCs w:val="32"/>
          <w:lang w:val="en-US" w:eastAsia="zh-CN"/>
        </w:rPr>
        <w:t>100</w:t>
      </w:r>
      <w:r>
        <w:rPr>
          <w:rFonts w:hint="eastAsia" w:ascii="Times New Roman" w:eastAsia="仿宋_GB2312"/>
          <w:b w:val="0"/>
          <w:sz w:val="32"/>
          <w:szCs w:val="32"/>
        </w:rPr>
        <w:t>分（绩效自评表附后）。全年预算数为</w:t>
      </w:r>
      <w:r>
        <w:rPr>
          <w:rFonts w:hint="eastAsia" w:ascii="Times New Roman" w:eastAsia="仿宋_GB2312"/>
          <w:b w:val="0"/>
          <w:sz w:val="32"/>
          <w:szCs w:val="32"/>
          <w:lang w:val="en-US" w:eastAsia="zh-CN"/>
        </w:rPr>
        <w:t>20</w:t>
      </w:r>
      <w:r>
        <w:rPr>
          <w:rFonts w:hint="eastAsia" w:ascii="Times New Roman" w:eastAsia="仿宋_GB2312"/>
          <w:b w:val="0"/>
          <w:sz w:val="32"/>
          <w:szCs w:val="32"/>
        </w:rPr>
        <w:t>万元，执行数为</w:t>
      </w:r>
      <w:r>
        <w:rPr>
          <w:rFonts w:hint="eastAsia" w:ascii="Times New Roman" w:eastAsia="仿宋_GB2312"/>
          <w:b w:val="0"/>
          <w:sz w:val="32"/>
          <w:szCs w:val="32"/>
          <w:lang w:val="en-US" w:eastAsia="zh-CN"/>
        </w:rPr>
        <w:t>20</w:t>
      </w:r>
      <w:r>
        <w:rPr>
          <w:rFonts w:hint="eastAsia" w:ascii="Times New Roman" w:eastAsia="仿宋_GB2312"/>
          <w:b w:val="0"/>
          <w:sz w:val="32"/>
          <w:szCs w:val="32"/>
        </w:rPr>
        <w:t>万元，完成预算的</w:t>
      </w:r>
      <w:r>
        <w:rPr>
          <w:rFonts w:hint="eastAsia" w:ascii="Times New Roman" w:eastAsia="仿宋_GB2312"/>
          <w:b w:val="0"/>
          <w:sz w:val="32"/>
          <w:szCs w:val="32"/>
          <w:lang w:val="en-US" w:eastAsia="zh-CN"/>
        </w:rPr>
        <w:t>100</w:t>
      </w:r>
      <w:r>
        <w:rPr>
          <w:rFonts w:hint="eastAsia" w:ascii="Times New Roman" w:eastAsia="仿宋_GB2312"/>
          <w:b w:val="0"/>
          <w:sz w:val="32"/>
          <w:szCs w:val="32"/>
        </w:rPr>
        <w:t>%。通过项目实施，开展审计质量提升、审计能力提升、全市内审交流培训等相关培训，提升审计人员综合素质，促进审计工作提质增效；开展了全市审计系统大数据培训班，提升了全市审计系统大数据审计分析能力，促进大数据审计人才队伍建设。未发现问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Times New Roman" w:eastAsia="仿宋_GB2312"/>
          <w:b w:val="0"/>
          <w:sz w:val="32"/>
          <w:szCs w:val="32"/>
        </w:rPr>
      </w:pPr>
      <w:r>
        <w:rPr>
          <w:rFonts w:hint="eastAsia" w:ascii="Times New Roman" w:eastAsia="仿宋_GB2312"/>
          <w:b w:val="0"/>
          <w:sz w:val="32"/>
          <w:szCs w:val="32"/>
        </w:rPr>
        <w:t>提前下达2024年信息系统运行维护专项补助经费项目绩效自评情况：根据年初设定的绩效目标，项目绩效自评得分为</w:t>
      </w:r>
      <w:r>
        <w:rPr>
          <w:rFonts w:hint="eastAsia" w:ascii="Times New Roman" w:eastAsia="仿宋_GB2312"/>
          <w:b w:val="0"/>
          <w:sz w:val="32"/>
          <w:szCs w:val="32"/>
          <w:lang w:val="en-US" w:eastAsia="zh-CN"/>
        </w:rPr>
        <w:t>100</w:t>
      </w:r>
      <w:r>
        <w:rPr>
          <w:rFonts w:hint="eastAsia" w:ascii="Times New Roman" w:eastAsia="仿宋_GB2312"/>
          <w:b w:val="0"/>
          <w:sz w:val="32"/>
          <w:szCs w:val="32"/>
        </w:rPr>
        <w:t>分（绩效自评表附后）。全年预算数为</w:t>
      </w:r>
      <w:r>
        <w:rPr>
          <w:rFonts w:hint="eastAsia" w:ascii="Times New Roman" w:eastAsia="仿宋_GB2312"/>
          <w:b w:val="0"/>
          <w:sz w:val="32"/>
          <w:szCs w:val="32"/>
          <w:lang w:val="en-US" w:eastAsia="zh-CN"/>
        </w:rPr>
        <w:t>12</w:t>
      </w:r>
      <w:r>
        <w:rPr>
          <w:rFonts w:hint="eastAsia" w:ascii="Times New Roman" w:eastAsia="仿宋_GB2312"/>
          <w:b w:val="0"/>
          <w:sz w:val="32"/>
          <w:szCs w:val="32"/>
        </w:rPr>
        <w:t>万元，执行数为</w:t>
      </w:r>
      <w:r>
        <w:rPr>
          <w:rFonts w:hint="eastAsia" w:ascii="Times New Roman" w:eastAsia="仿宋_GB2312"/>
          <w:b w:val="0"/>
          <w:sz w:val="32"/>
          <w:szCs w:val="32"/>
          <w:lang w:val="en-US" w:eastAsia="zh-CN"/>
        </w:rPr>
        <w:t>12</w:t>
      </w:r>
      <w:r>
        <w:rPr>
          <w:rFonts w:hint="eastAsia" w:ascii="Times New Roman" w:eastAsia="仿宋_GB2312"/>
          <w:b w:val="0"/>
          <w:sz w:val="32"/>
          <w:szCs w:val="32"/>
        </w:rPr>
        <w:t>万元，完成预算的</w:t>
      </w:r>
      <w:r>
        <w:rPr>
          <w:rFonts w:hint="eastAsia" w:ascii="Times New Roman" w:eastAsia="仿宋_GB2312"/>
          <w:b w:val="0"/>
          <w:sz w:val="32"/>
          <w:szCs w:val="32"/>
          <w:lang w:val="en-US" w:eastAsia="zh-CN"/>
        </w:rPr>
        <w:t>100</w:t>
      </w:r>
      <w:r>
        <w:rPr>
          <w:rFonts w:hint="eastAsia" w:ascii="Times New Roman" w:eastAsia="仿宋_GB2312"/>
          <w:b w:val="0"/>
          <w:sz w:val="32"/>
          <w:szCs w:val="32"/>
        </w:rPr>
        <w:t>%。通过项目实施，</w:t>
      </w:r>
      <w:r>
        <w:rPr>
          <w:rFonts w:hint="eastAsia" w:ascii="Times New Roman" w:eastAsia="仿宋_GB2312"/>
          <w:b w:val="0"/>
          <w:sz w:val="32"/>
          <w:szCs w:val="32"/>
          <w:lang w:eastAsia="zh-CN"/>
        </w:rPr>
        <w:t>进行</w:t>
      </w:r>
      <w:r>
        <w:rPr>
          <w:rFonts w:hint="eastAsia" w:ascii="Times New Roman" w:eastAsia="仿宋_GB2312"/>
          <w:b w:val="0"/>
          <w:sz w:val="32"/>
          <w:szCs w:val="32"/>
        </w:rPr>
        <w:t>金审工程三期应用推广，实现审计数据收集，整理，分析全覆盖。</w:t>
      </w:r>
      <w:r>
        <w:rPr>
          <w:rFonts w:hint="eastAsia" w:ascii="Times New Roman" w:eastAsia="仿宋_GB2312"/>
          <w:b w:val="0"/>
          <w:sz w:val="32"/>
          <w:szCs w:val="32"/>
          <w:lang w:eastAsia="zh-CN"/>
        </w:rPr>
        <w:t>保障</w:t>
      </w:r>
      <w:r>
        <w:rPr>
          <w:rFonts w:hint="eastAsia" w:ascii="Times New Roman" w:eastAsia="仿宋_GB2312"/>
          <w:b w:val="0"/>
          <w:sz w:val="32"/>
          <w:szCs w:val="32"/>
        </w:rPr>
        <w:t>金审三期信息化系统正常运行，建立了整合的，全方位的审计信息化体系，</w:t>
      </w:r>
      <w:r>
        <w:rPr>
          <w:rFonts w:hint="eastAsia" w:ascii="Times New Roman" w:eastAsia="仿宋_GB2312"/>
          <w:b w:val="0"/>
          <w:sz w:val="32"/>
          <w:szCs w:val="32"/>
          <w:lang w:eastAsia="zh-CN"/>
        </w:rPr>
        <w:t>维护内部审计管理平台，升级改造投资平台功能，</w:t>
      </w:r>
      <w:r>
        <w:rPr>
          <w:rFonts w:hint="eastAsia" w:ascii="Times New Roman" w:eastAsia="仿宋_GB2312"/>
          <w:b w:val="0"/>
          <w:sz w:val="32"/>
          <w:szCs w:val="32"/>
        </w:rPr>
        <w:t>提高了信息化环境下的审计监督能力。未发现问题。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Times New Roman" w:eastAsia="仿宋_GB2312"/>
          <w:b w:val="0"/>
          <w:sz w:val="32"/>
          <w:szCs w:val="32"/>
          <w:lang w:eastAsia="zh-CN"/>
        </w:rPr>
      </w:pPr>
      <w:r>
        <w:rPr>
          <w:rFonts w:hint="eastAsia" w:ascii="Times New Roman" w:eastAsia="仿宋_GB2312"/>
          <w:b w:val="0"/>
          <w:sz w:val="32"/>
          <w:szCs w:val="32"/>
        </w:rPr>
        <w:t>办公设备购置项目绩效自评情况：根据年初设定的绩效目标，项目绩效自评得分为</w:t>
      </w:r>
      <w:r>
        <w:rPr>
          <w:rFonts w:hint="eastAsia" w:ascii="Times New Roman" w:eastAsia="仿宋_GB2312"/>
          <w:b w:val="0"/>
          <w:sz w:val="32"/>
          <w:szCs w:val="32"/>
          <w:lang w:val="en-US" w:eastAsia="zh-CN"/>
        </w:rPr>
        <w:t>97.8</w:t>
      </w:r>
      <w:r>
        <w:rPr>
          <w:rFonts w:hint="eastAsia" w:ascii="Times New Roman" w:eastAsia="仿宋_GB2312"/>
          <w:b w:val="0"/>
          <w:sz w:val="32"/>
          <w:szCs w:val="32"/>
        </w:rPr>
        <w:t>分（绩效自评表附后）。全年预算数为</w:t>
      </w:r>
      <w:r>
        <w:rPr>
          <w:rFonts w:hint="eastAsia" w:ascii="Times New Roman" w:eastAsia="仿宋_GB2312"/>
          <w:b w:val="0"/>
          <w:sz w:val="32"/>
          <w:szCs w:val="32"/>
          <w:lang w:val="en-US" w:eastAsia="zh-CN"/>
        </w:rPr>
        <w:t>179.27</w:t>
      </w:r>
      <w:r>
        <w:rPr>
          <w:rFonts w:hint="eastAsia" w:ascii="Times New Roman" w:eastAsia="仿宋_GB2312"/>
          <w:b w:val="0"/>
          <w:sz w:val="32"/>
          <w:szCs w:val="32"/>
        </w:rPr>
        <w:t>万元，执行数为</w:t>
      </w:r>
      <w:r>
        <w:rPr>
          <w:rFonts w:hint="eastAsia" w:ascii="Times New Roman" w:eastAsia="仿宋_GB2312"/>
          <w:b w:val="0"/>
          <w:sz w:val="32"/>
          <w:szCs w:val="32"/>
          <w:lang w:val="en-US" w:eastAsia="zh-CN"/>
        </w:rPr>
        <w:t>176.77</w:t>
      </w:r>
      <w:r>
        <w:rPr>
          <w:rFonts w:hint="eastAsia" w:ascii="Times New Roman" w:eastAsia="仿宋_GB2312"/>
          <w:b w:val="0"/>
          <w:sz w:val="32"/>
          <w:szCs w:val="32"/>
        </w:rPr>
        <w:t>万元，完成预算的</w:t>
      </w:r>
      <w:r>
        <w:rPr>
          <w:rFonts w:hint="eastAsia" w:ascii="Times New Roman" w:eastAsia="仿宋_GB2312"/>
          <w:b w:val="0"/>
          <w:sz w:val="32"/>
          <w:szCs w:val="32"/>
          <w:lang w:val="en-US" w:eastAsia="zh-CN"/>
        </w:rPr>
        <w:t>98.61</w:t>
      </w:r>
      <w:r>
        <w:rPr>
          <w:rFonts w:hint="eastAsia" w:ascii="Times New Roman" w:eastAsia="仿宋_GB2312"/>
          <w:b w:val="0"/>
          <w:sz w:val="32"/>
          <w:szCs w:val="32"/>
        </w:rPr>
        <w:t>%。通过项目实施，及时更新、为人员配置办公设备，有效提升业务保障能力,提升履职尽责效果</w:t>
      </w:r>
      <w:r>
        <w:rPr>
          <w:rFonts w:hint="eastAsia" w:ascii="Times New Roman" w:eastAsia="仿宋_GB2312"/>
          <w:b w:val="0"/>
          <w:sz w:val="32"/>
          <w:szCs w:val="32"/>
          <w:lang w:eastAsia="zh-CN"/>
        </w:rPr>
        <w:t>。</w:t>
      </w:r>
      <w:r>
        <w:rPr>
          <w:rFonts w:hint="eastAsia" w:ascii="Times New Roman" w:eastAsia="仿宋_GB2312"/>
          <w:b w:val="0"/>
          <w:sz w:val="32"/>
          <w:szCs w:val="32"/>
        </w:rPr>
        <w:t>未发现问题</w:t>
      </w:r>
      <w:r>
        <w:rPr>
          <w:rFonts w:hint="eastAsia" w:ascii="Times New Roman" w:eastAsia="仿宋_GB2312"/>
          <w:b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Times New Roman" w:eastAsia="仿宋_GB2312"/>
          <w:b w:val="0"/>
          <w:sz w:val="32"/>
          <w:szCs w:val="32"/>
          <w:lang w:eastAsia="zh-CN"/>
        </w:rPr>
      </w:pPr>
      <w:r>
        <w:rPr>
          <w:rFonts w:hint="eastAsia" w:ascii="仿宋_GB2312" w:hAnsi="仿宋" w:eastAsia="仿宋_GB2312" w:cs="黑体"/>
          <w:color w:val="auto"/>
          <w:sz w:val="32"/>
          <w:szCs w:val="32"/>
        </w:rPr>
        <w:t>法律咨询服务费</w:t>
      </w:r>
      <w:r>
        <w:rPr>
          <w:rFonts w:hint="eastAsia" w:ascii="Times New Roman" w:eastAsia="仿宋_GB2312"/>
          <w:b w:val="0"/>
          <w:sz w:val="32"/>
          <w:szCs w:val="32"/>
        </w:rPr>
        <w:t>项目绩效自评情况：根据年初设定的绩效目标，项目绩效自评得分为</w:t>
      </w:r>
      <w:r>
        <w:rPr>
          <w:rFonts w:hint="eastAsia" w:ascii="Times New Roman" w:eastAsia="仿宋_GB2312"/>
          <w:b w:val="0"/>
          <w:sz w:val="32"/>
          <w:szCs w:val="32"/>
          <w:lang w:val="en-US" w:eastAsia="zh-CN"/>
        </w:rPr>
        <w:t>98</w:t>
      </w:r>
      <w:r>
        <w:rPr>
          <w:rFonts w:hint="eastAsia" w:ascii="Times New Roman" w:eastAsia="仿宋_GB2312"/>
          <w:b w:val="0"/>
          <w:sz w:val="32"/>
          <w:szCs w:val="32"/>
        </w:rPr>
        <w:t>分（绩效自评表附后）。全年预算数为</w:t>
      </w:r>
      <w:r>
        <w:rPr>
          <w:rFonts w:hint="eastAsia" w:ascii="Times New Roman" w:eastAsia="仿宋_GB2312"/>
          <w:b w:val="0"/>
          <w:sz w:val="32"/>
          <w:szCs w:val="32"/>
          <w:lang w:val="en-US" w:eastAsia="zh-CN"/>
        </w:rPr>
        <w:t>6</w:t>
      </w:r>
      <w:r>
        <w:rPr>
          <w:rFonts w:hint="eastAsia" w:ascii="Times New Roman" w:eastAsia="仿宋_GB2312"/>
          <w:b w:val="0"/>
          <w:sz w:val="32"/>
          <w:szCs w:val="32"/>
        </w:rPr>
        <w:t>万元，执行数为</w:t>
      </w:r>
      <w:r>
        <w:rPr>
          <w:rFonts w:hint="eastAsia" w:ascii="Times New Roman" w:eastAsia="仿宋_GB2312"/>
          <w:b w:val="0"/>
          <w:sz w:val="32"/>
          <w:szCs w:val="32"/>
          <w:lang w:val="en-US" w:eastAsia="zh-CN"/>
        </w:rPr>
        <w:t>6</w:t>
      </w:r>
      <w:r>
        <w:rPr>
          <w:rFonts w:hint="eastAsia" w:ascii="Times New Roman" w:eastAsia="仿宋_GB2312"/>
          <w:b w:val="0"/>
          <w:sz w:val="32"/>
          <w:szCs w:val="32"/>
        </w:rPr>
        <w:t>万元，完成预算的</w:t>
      </w:r>
      <w:r>
        <w:rPr>
          <w:rFonts w:hint="eastAsia" w:ascii="Times New Roman" w:eastAsia="仿宋_GB2312"/>
          <w:b w:val="0"/>
          <w:sz w:val="32"/>
          <w:szCs w:val="32"/>
          <w:lang w:val="en-US" w:eastAsia="zh-CN"/>
        </w:rPr>
        <w:t>100</w:t>
      </w:r>
      <w:r>
        <w:rPr>
          <w:rFonts w:hint="eastAsia" w:ascii="Times New Roman" w:eastAsia="仿宋_GB2312"/>
          <w:b w:val="0"/>
          <w:sz w:val="32"/>
          <w:szCs w:val="32"/>
        </w:rPr>
        <w:t>%。通过项目实施，进一步加强</w:t>
      </w:r>
      <w:r>
        <w:rPr>
          <w:rFonts w:hint="eastAsia" w:ascii="Times New Roman" w:eastAsia="仿宋_GB2312"/>
          <w:b w:val="0"/>
          <w:sz w:val="32"/>
          <w:szCs w:val="32"/>
          <w:lang w:eastAsia="zh-CN"/>
        </w:rPr>
        <w:t>了</w:t>
      </w:r>
      <w:r>
        <w:rPr>
          <w:rFonts w:hint="eastAsia" w:ascii="Times New Roman" w:eastAsia="仿宋_GB2312"/>
          <w:b w:val="0"/>
          <w:sz w:val="32"/>
          <w:szCs w:val="32"/>
        </w:rPr>
        <w:t>法律顾问工作管理，充分发挥</w:t>
      </w:r>
      <w:r>
        <w:rPr>
          <w:rFonts w:hint="eastAsia" w:ascii="Times New Roman" w:eastAsia="仿宋_GB2312"/>
          <w:b w:val="0"/>
          <w:sz w:val="32"/>
          <w:szCs w:val="32"/>
          <w:lang w:eastAsia="zh-CN"/>
        </w:rPr>
        <w:t>了</w:t>
      </w:r>
      <w:r>
        <w:rPr>
          <w:rFonts w:hint="eastAsia" w:ascii="Times New Roman" w:eastAsia="仿宋_GB2312"/>
          <w:b w:val="0"/>
          <w:sz w:val="32"/>
          <w:szCs w:val="32"/>
        </w:rPr>
        <w:t>法律顾问作用，进一步提升</w:t>
      </w:r>
      <w:r>
        <w:rPr>
          <w:rFonts w:hint="eastAsia" w:ascii="Times New Roman" w:eastAsia="仿宋_GB2312"/>
          <w:b w:val="0"/>
          <w:sz w:val="32"/>
          <w:szCs w:val="32"/>
          <w:lang w:eastAsia="zh-CN"/>
        </w:rPr>
        <w:t>了</w:t>
      </w:r>
      <w:r>
        <w:rPr>
          <w:rFonts w:hint="eastAsia" w:ascii="Times New Roman" w:eastAsia="仿宋_GB2312"/>
          <w:b w:val="0"/>
          <w:sz w:val="32"/>
          <w:szCs w:val="32"/>
        </w:rPr>
        <w:t>咨询服务使用效果</w:t>
      </w:r>
      <w:r>
        <w:rPr>
          <w:rFonts w:hint="eastAsia" w:ascii="Times New Roman" w:eastAsia="仿宋_GB2312"/>
          <w:b w:val="0"/>
          <w:sz w:val="32"/>
          <w:szCs w:val="32"/>
          <w:lang w:eastAsia="zh-CN"/>
        </w:rPr>
        <w:t>，</w:t>
      </w:r>
      <w:r>
        <w:rPr>
          <w:rFonts w:hint="eastAsia" w:ascii="仿宋_GB2312" w:hAnsi="仿宋" w:eastAsia="仿宋_GB2312" w:cs="黑体"/>
          <w:color w:val="auto"/>
          <w:sz w:val="32"/>
          <w:szCs w:val="32"/>
        </w:rPr>
        <w:t>提高审计质量和业务能力效果</w:t>
      </w:r>
      <w:r>
        <w:rPr>
          <w:rFonts w:hint="eastAsia" w:ascii="仿宋_GB2312" w:hAnsi="仿宋" w:eastAsia="仿宋_GB2312" w:cs="黑体"/>
          <w:color w:val="auto"/>
          <w:sz w:val="32"/>
          <w:szCs w:val="32"/>
          <w:lang w:eastAsia="zh-CN"/>
        </w:rPr>
        <w:t>。</w:t>
      </w:r>
      <w:r>
        <w:rPr>
          <w:rFonts w:hint="eastAsia" w:ascii="Times New Roman" w:eastAsia="仿宋_GB2312"/>
          <w:b w:val="0"/>
          <w:sz w:val="32"/>
          <w:szCs w:val="32"/>
        </w:rPr>
        <w:t>未发现问题</w:t>
      </w:r>
      <w:r>
        <w:rPr>
          <w:rFonts w:hint="eastAsia" w:ascii="Times New Roman" w:eastAsia="仿宋_GB2312"/>
          <w:b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Times New Roman" w:eastAsia="仿宋_GB2312"/>
          <w:b w:val="0"/>
          <w:sz w:val="32"/>
          <w:szCs w:val="32"/>
          <w:lang w:eastAsia="zh-CN"/>
        </w:rPr>
      </w:pPr>
      <w:r>
        <w:rPr>
          <w:rFonts w:hint="eastAsia" w:ascii="仿宋_GB2312" w:hAnsi="仿宋" w:eastAsia="仿宋_GB2312" w:cs="黑体"/>
          <w:color w:val="auto"/>
          <w:sz w:val="32"/>
          <w:szCs w:val="32"/>
        </w:rPr>
        <w:t>党组织活动经费</w:t>
      </w:r>
      <w:r>
        <w:rPr>
          <w:rFonts w:hint="eastAsia" w:ascii="Times New Roman" w:eastAsia="仿宋_GB2312"/>
          <w:b w:val="0"/>
          <w:sz w:val="32"/>
          <w:szCs w:val="32"/>
        </w:rPr>
        <w:t>项目绩效自评情况：根据年初设定的绩效目标，项目绩效自评得分为</w:t>
      </w:r>
      <w:r>
        <w:rPr>
          <w:rFonts w:hint="eastAsia" w:ascii="Times New Roman" w:eastAsia="仿宋_GB2312"/>
          <w:b w:val="0"/>
          <w:sz w:val="32"/>
          <w:szCs w:val="32"/>
          <w:lang w:val="en-US" w:eastAsia="zh-CN"/>
        </w:rPr>
        <w:t>98</w:t>
      </w:r>
      <w:r>
        <w:rPr>
          <w:rFonts w:hint="eastAsia" w:ascii="Times New Roman" w:eastAsia="仿宋_GB2312"/>
          <w:b w:val="0"/>
          <w:sz w:val="32"/>
          <w:szCs w:val="32"/>
        </w:rPr>
        <w:t>分（绩效自评表附后）。全年预算数为</w:t>
      </w:r>
      <w:r>
        <w:rPr>
          <w:rFonts w:hint="eastAsia" w:ascii="Times New Roman" w:eastAsia="仿宋_GB2312"/>
          <w:b w:val="0"/>
          <w:sz w:val="32"/>
          <w:szCs w:val="32"/>
          <w:lang w:val="en-US" w:eastAsia="zh-CN"/>
        </w:rPr>
        <w:t>13.5</w:t>
      </w:r>
      <w:r>
        <w:rPr>
          <w:rFonts w:hint="eastAsia" w:ascii="Times New Roman" w:eastAsia="仿宋_GB2312"/>
          <w:b w:val="0"/>
          <w:sz w:val="32"/>
          <w:szCs w:val="32"/>
        </w:rPr>
        <w:t>万元，执行数为</w:t>
      </w:r>
      <w:r>
        <w:rPr>
          <w:rFonts w:hint="eastAsia" w:ascii="Times New Roman" w:eastAsia="仿宋_GB2312"/>
          <w:b w:val="0"/>
          <w:sz w:val="32"/>
          <w:szCs w:val="32"/>
          <w:lang w:val="en-US" w:eastAsia="zh-CN"/>
        </w:rPr>
        <w:t>13.5</w:t>
      </w:r>
      <w:r>
        <w:rPr>
          <w:rFonts w:hint="eastAsia" w:ascii="Times New Roman" w:eastAsia="仿宋_GB2312"/>
          <w:b w:val="0"/>
          <w:sz w:val="32"/>
          <w:szCs w:val="32"/>
        </w:rPr>
        <w:t>万元，完成预算的</w:t>
      </w:r>
      <w:r>
        <w:rPr>
          <w:rFonts w:hint="eastAsia" w:ascii="Times New Roman" w:eastAsia="仿宋_GB2312"/>
          <w:b w:val="0"/>
          <w:sz w:val="32"/>
          <w:szCs w:val="32"/>
          <w:lang w:val="en-US" w:eastAsia="zh-CN"/>
        </w:rPr>
        <w:t>100</w:t>
      </w:r>
      <w:r>
        <w:rPr>
          <w:rFonts w:hint="eastAsia" w:ascii="Times New Roman" w:eastAsia="仿宋_GB2312"/>
          <w:b w:val="0"/>
          <w:sz w:val="32"/>
          <w:szCs w:val="32"/>
        </w:rPr>
        <w:t>%。通过项目实施，进一步</w:t>
      </w:r>
      <w:r>
        <w:rPr>
          <w:rFonts w:hint="eastAsia" w:ascii="仿宋_GB2312" w:hAnsi="仿宋" w:eastAsia="仿宋_GB2312" w:cs="黑体"/>
          <w:color w:val="auto"/>
          <w:sz w:val="32"/>
          <w:szCs w:val="32"/>
        </w:rPr>
        <w:t>提高党</w:t>
      </w:r>
      <w:r>
        <w:rPr>
          <w:rFonts w:hint="eastAsia" w:ascii="仿宋_GB2312" w:hAnsi="仿宋" w:eastAsia="仿宋_GB2312" w:cs="黑体"/>
          <w:color w:val="auto"/>
          <w:sz w:val="32"/>
          <w:szCs w:val="32"/>
          <w:lang w:eastAsia="zh-CN"/>
        </w:rPr>
        <w:t>了</w:t>
      </w:r>
      <w:r>
        <w:rPr>
          <w:rFonts w:hint="eastAsia" w:ascii="仿宋_GB2312" w:hAnsi="仿宋" w:eastAsia="仿宋_GB2312" w:cs="黑体"/>
          <w:color w:val="auto"/>
          <w:sz w:val="32"/>
          <w:szCs w:val="32"/>
        </w:rPr>
        <w:t>员干部政治素质，有助于培养忠诚、干净、</w:t>
      </w:r>
      <w:r>
        <w:rPr>
          <w:rFonts w:hint="eastAsia" w:ascii="Times New Roman" w:eastAsia="仿宋_GB2312"/>
          <w:b w:val="0"/>
          <w:sz w:val="32"/>
          <w:szCs w:val="32"/>
        </w:rPr>
        <w:t>担当的党员干部队伍效果</w:t>
      </w:r>
      <w:r>
        <w:rPr>
          <w:rFonts w:hint="eastAsia" w:ascii="Times New Roman" w:eastAsia="仿宋_GB2312"/>
          <w:b w:val="0"/>
          <w:sz w:val="32"/>
          <w:szCs w:val="32"/>
          <w:lang w:eastAsia="zh-CN"/>
        </w:rPr>
        <w:t>良好。</w:t>
      </w:r>
      <w:r>
        <w:rPr>
          <w:rFonts w:hint="eastAsia" w:ascii="Times New Roman" w:eastAsia="仿宋_GB2312"/>
          <w:b w:val="0"/>
          <w:sz w:val="32"/>
          <w:szCs w:val="32"/>
        </w:rPr>
        <w:t>未发现问题</w:t>
      </w:r>
      <w:r>
        <w:rPr>
          <w:rFonts w:hint="eastAsia" w:ascii="Times New Roman" w:eastAsia="仿宋_GB2312"/>
          <w:b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Times New Roman" w:eastAsia="仿宋_GB2312"/>
          <w:b w:val="0"/>
          <w:sz w:val="32"/>
          <w:szCs w:val="32"/>
        </w:rPr>
      </w:pPr>
      <w:r>
        <w:rPr>
          <w:rFonts w:hint="eastAsia" w:ascii="Times New Roman" w:eastAsia="仿宋_GB2312"/>
          <w:b w:val="0"/>
          <w:sz w:val="32"/>
          <w:szCs w:val="32"/>
        </w:rPr>
        <w:t>办公楼租赁及物业管理</w:t>
      </w:r>
      <w:r>
        <w:rPr>
          <w:rFonts w:hint="eastAsia" w:ascii="Times New Roman" w:eastAsia="仿宋_GB2312"/>
          <w:b w:val="0"/>
          <w:sz w:val="32"/>
          <w:szCs w:val="32"/>
          <w:lang w:eastAsia="zh-CN"/>
        </w:rPr>
        <w:t>维护</w:t>
      </w:r>
      <w:r>
        <w:rPr>
          <w:rFonts w:hint="eastAsia" w:ascii="Times New Roman" w:eastAsia="仿宋_GB2312"/>
          <w:b w:val="0"/>
          <w:sz w:val="32"/>
          <w:szCs w:val="32"/>
        </w:rPr>
        <w:t>项目绩效自评情况：根据年初设定的绩效目标，项目绩效自评得分为9</w:t>
      </w:r>
      <w:r>
        <w:rPr>
          <w:rFonts w:hint="eastAsia" w:ascii="Times New Roman" w:eastAsia="仿宋_GB2312"/>
          <w:b w:val="0"/>
          <w:sz w:val="32"/>
          <w:szCs w:val="32"/>
          <w:lang w:val="en-US" w:eastAsia="zh-CN"/>
        </w:rPr>
        <w:t>7.7</w:t>
      </w:r>
      <w:r>
        <w:rPr>
          <w:rFonts w:hint="eastAsia" w:ascii="Times New Roman" w:eastAsia="仿宋_GB2312"/>
          <w:b w:val="0"/>
          <w:sz w:val="32"/>
          <w:szCs w:val="32"/>
        </w:rPr>
        <w:t>分（绩效自评表附后）。全年预算数为</w:t>
      </w:r>
      <w:r>
        <w:rPr>
          <w:rFonts w:hint="eastAsia" w:ascii="Times New Roman" w:eastAsia="仿宋_GB2312"/>
          <w:b w:val="0"/>
          <w:sz w:val="32"/>
          <w:szCs w:val="32"/>
          <w:lang w:val="en-US" w:eastAsia="zh-CN"/>
        </w:rPr>
        <w:t>7</w:t>
      </w:r>
      <w:r>
        <w:rPr>
          <w:rFonts w:hint="eastAsia" w:ascii="Times New Roman" w:eastAsia="仿宋_GB2312"/>
          <w:b w:val="0"/>
          <w:sz w:val="32"/>
          <w:szCs w:val="32"/>
        </w:rPr>
        <w:t>5万元，执行数为</w:t>
      </w:r>
      <w:r>
        <w:rPr>
          <w:rFonts w:hint="eastAsia" w:ascii="仿宋_GB2312" w:hAnsi="仿宋" w:eastAsia="仿宋_GB2312" w:cs="黑体"/>
          <w:color w:val="auto"/>
          <w:sz w:val="32"/>
          <w:szCs w:val="32"/>
        </w:rPr>
        <w:t>72.75</w:t>
      </w:r>
      <w:r>
        <w:rPr>
          <w:rFonts w:hint="eastAsia" w:ascii="Times New Roman" w:eastAsia="仿宋_GB2312"/>
          <w:b w:val="0"/>
          <w:sz w:val="32"/>
          <w:szCs w:val="32"/>
        </w:rPr>
        <w:t>万元，完成预算的</w:t>
      </w:r>
      <w:r>
        <w:rPr>
          <w:rFonts w:hint="eastAsia" w:ascii="Times New Roman" w:eastAsia="仿宋_GB2312"/>
          <w:b w:val="0"/>
          <w:sz w:val="32"/>
          <w:szCs w:val="32"/>
          <w:lang w:val="en-US" w:eastAsia="zh-CN"/>
        </w:rPr>
        <w:t>97</w:t>
      </w:r>
      <w:r>
        <w:rPr>
          <w:rFonts w:hint="eastAsia" w:ascii="Times New Roman" w:eastAsia="仿宋_GB2312"/>
          <w:b w:val="0"/>
          <w:sz w:val="32"/>
          <w:szCs w:val="32"/>
        </w:rPr>
        <w:t>%。通过项目实施，</w:t>
      </w:r>
      <w:r>
        <w:rPr>
          <w:rFonts w:hint="eastAsia" w:ascii="仿宋_GB2312" w:hAnsi="仿宋" w:eastAsia="仿宋_GB2312" w:cs="黑体"/>
          <w:color w:val="auto"/>
          <w:sz w:val="32"/>
          <w:szCs w:val="32"/>
        </w:rPr>
        <w:t>保障</w:t>
      </w:r>
      <w:r>
        <w:rPr>
          <w:rFonts w:hint="eastAsia" w:ascii="仿宋_GB2312" w:hAnsi="仿宋" w:eastAsia="仿宋_GB2312" w:cs="黑体"/>
          <w:color w:val="auto"/>
          <w:sz w:val="32"/>
          <w:szCs w:val="32"/>
          <w:lang w:eastAsia="zh-CN"/>
        </w:rPr>
        <w:t>部门办公运行效果</w:t>
      </w:r>
      <w:r>
        <w:rPr>
          <w:rFonts w:hint="eastAsia" w:ascii="仿宋_GB2312" w:hAnsi="仿宋" w:eastAsia="仿宋_GB2312" w:cs="黑体"/>
          <w:color w:val="auto"/>
          <w:sz w:val="32"/>
          <w:szCs w:val="32"/>
        </w:rPr>
        <w:t>良好</w:t>
      </w:r>
      <w:r>
        <w:rPr>
          <w:rFonts w:hint="eastAsia" w:ascii="Times New Roman" w:eastAsia="仿宋_GB2312"/>
          <w:b w:val="0"/>
          <w:sz w:val="32"/>
          <w:szCs w:val="32"/>
        </w:rPr>
        <w:t>。未发现问题。</w:t>
      </w:r>
    </w:p>
    <w:p>
      <w:pPr>
        <w:pStyle w:val="10"/>
        <w:rPr>
          <w:rFonts w:hint="eastAsia" w:ascii="Times New Roman" w:eastAsia="仿宋_GB2312" w:cs="宋体" w:hAnsiTheme="minorHAnsi"/>
          <w:b/>
          <w:color w:val="auto"/>
          <w:kern w:val="0"/>
          <w:sz w:val="32"/>
          <w:szCs w:val="32"/>
          <w:lang w:val="en-US" w:eastAsia="zh-CN" w:bidi="ar-SA"/>
        </w:rPr>
      </w:pPr>
      <w:r>
        <w:rPr>
          <w:rFonts w:hint="eastAsia" w:ascii="Times New Roman" w:eastAsia="仿宋_GB2312" w:cs="宋体" w:hAnsiTheme="minorHAnsi"/>
          <w:b/>
          <w:color w:val="auto"/>
          <w:kern w:val="0"/>
          <w:sz w:val="32"/>
          <w:szCs w:val="32"/>
          <w:lang w:val="en-US" w:eastAsia="zh-CN" w:bidi="ar-SA"/>
        </w:rPr>
        <w:t>附绩效自评表如下：</w:t>
      </w:r>
    </w:p>
    <w:p>
      <w:pPr>
        <w:rPr>
          <w:rFonts w:hint="eastAsia"/>
          <w:lang w:val="en-US" w:eastAsia="zh-CN"/>
        </w:rPr>
      </w:pPr>
      <w:r>
        <w:rPr>
          <w:rFonts w:hint="eastAsia"/>
          <w:lang w:val="en-US" w:eastAsia="zh-CN"/>
        </w:rPr>
        <w:br w:type="page"/>
      </w:r>
    </w:p>
    <w:p>
      <w:pPr>
        <w:pStyle w:val="10"/>
        <w:rPr>
          <w:rFonts w:hint="eastAsia" w:ascii="Times New Roman" w:eastAsia="仿宋_GB2312" w:cs="宋体"/>
          <w:b/>
          <w:color w:val="auto"/>
          <w:kern w:val="0"/>
          <w:sz w:val="32"/>
          <w:szCs w:val="32"/>
          <w:lang w:val="en-US" w:eastAsia="zh-CN" w:bidi="ar-SA"/>
        </w:rPr>
      </w:pPr>
      <w:r>
        <w:rPr>
          <w:rFonts w:hint="eastAsia" w:ascii="Times New Roman" w:eastAsia="仿宋_GB2312" w:cs="宋体"/>
          <w:b/>
          <w:color w:val="auto"/>
          <w:kern w:val="0"/>
          <w:sz w:val="32"/>
          <w:szCs w:val="32"/>
          <w:lang w:val="en-US" w:eastAsia="zh-CN" w:bidi="ar-SA"/>
        </w:rPr>
        <w:t>审计执法经费</w:t>
      </w:r>
    </w:p>
    <w:tbl>
      <w:tblPr>
        <w:tblStyle w:val="16"/>
        <w:tblpPr w:leftFromText="180" w:rightFromText="180" w:vertAnchor="text" w:horzAnchor="page" w:tblpX="831" w:tblpY="739"/>
        <w:tblOverlap w:val="never"/>
        <w:tblW w:w="106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52"/>
        <w:gridCol w:w="1254"/>
        <w:gridCol w:w="1253"/>
        <w:gridCol w:w="1254"/>
        <w:gridCol w:w="1343"/>
        <w:gridCol w:w="1421"/>
        <w:gridCol w:w="1419"/>
        <w:gridCol w:w="15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0630" w:type="dxa"/>
            <w:gridSpan w:val="8"/>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0"/>
                <w:szCs w:val="40"/>
                <w:u w:val="none"/>
              </w:rPr>
            </w:pPr>
            <w:r>
              <w:rPr>
                <w:rFonts w:hint="eastAsia" w:ascii="方正小标宋简体" w:hAnsi="方正小标宋简体" w:eastAsia="方正小标宋简体" w:cs="方正小标宋简体"/>
                <w:i w:val="0"/>
                <w:color w:val="000000"/>
                <w:kern w:val="0"/>
                <w:sz w:val="40"/>
                <w:szCs w:val="40"/>
                <w:u w:val="none"/>
                <w:lang w:val="en-US" w:eastAsia="zh-CN" w:bidi="ar"/>
              </w:rPr>
              <w:t>市级部门预算项目绩效自评表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10630" w:type="dxa"/>
            <w:gridSpan w:val="8"/>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1152"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填报部门：</w:t>
            </w:r>
          </w:p>
        </w:tc>
        <w:tc>
          <w:tcPr>
            <w:tcW w:w="125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c>
          <w:tcPr>
            <w:tcW w:w="1253" w:type="dxa"/>
            <w:shd w:val="clear" w:color="auto" w:fill="auto"/>
            <w:vAlign w:val="center"/>
          </w:tcPr>
          <w:p>
            <w:pPr>
              <w:jc w:val="center"/>
              <w:rPr>
                <w:rFonts w:hint="eastAsia" w:ascii="宋体" w:hAnsi="宋体" w:eastAsia="宋体" w:cs="宋体"/>
                <w:i w:val="0"/>
                <w:color w:val="000000"/>
                <w:sz w:val="16"/>
                <w:szCs w:val="16"/>
                <w:u w:val="none"/>
              </w:rPr>
            </w:pPr>
          </w:p>
        </w:tc>
        <w:tc>
          <w:tcPr>
            <w:tcW w:w="1254" w:type="dxa"/>
            <w:shd w:val="clear" w:color="auto" w:fill="auto"/>
            <w:vAlign w:val="center"/>
          </w:tcPr>
          <w:p>
            <w:pPr>
              <w:jc w:val="center"/>
              <w:rPr>
                <w:rFonts w:hint="eastAsia" w:ascii="宋体" w:hAnsi="宋体" w:eastAsia="宋体" w:cs="宋体"/>
                <w:i w:val="0"/>
                <w:color w:val="000000"/>
                <w:sz w:val="16"/>
                <w:szCs w:val="16"/>
                <w:u w:val="none"/>
              </w:rPr>
            </w:pPr>
          </w:p>
        </w:tc>
        <w:tc>
          <w:tcPr>
            <w:tcW w:w="1343" w:type="dxa"/>
            <w:shd w:val="clear" w:color="auto" w:fill="auto"/>
            <w:vAlign w:val="center"/>
          </w:tcPr>
          <w:p>
            <w:pPr>
              <w:jc w:val="center"/>
              <w:rPr>
                <w:rFonts w:hint="eastAsia" w:ascii="宋体" w:hAnsi="宋体" w:eastAsia="宋体" w:cs="宋体"/>
                <w:i w:val="0"/>
                <w:color w:val="000000"/>
                <w:sz w:val="16"/>
                <w:szCs w:val="16"/>
                <w:u w:val="none"/>
              </w:rPr>
            </w:pPr>
          </w:p>
        </w:tc>
        <w:tc>
          <w:tcPr>
            <w:tcW w:w="1421" w:type="dxa"/>
            <w:shd w:val="clear" w:color="auto" w:fill="auto"/>
            <w:vAlign w:val="center"/>
          </w:tcPr>
          <w:p>
            <w:pPr>
              <w:jc w:val="center"/>
              <w:rPr>
                <w:rFonts w:hint="eastAsia" w:ascii="宋体" w:hAnsi="宋体" w:eastAsia="宋体" w:cs="宋体"/>
                <w:i w:val="0"/>
                <w:color w:val="000000"/>
                <w:sz w:val="16"/>
                <w:szCs w:val="16"/>
                <w:u w:val="none"/>
              </w:rPr>
            </w:pPr>
          </w:p>
        </w:tc>
        <w:tc>
          <w:tcPr>
            <w:tcW w:w="1419" w:type="dxa"/>
            <w:shd w:val="clear" w:color="auto" w:fill="auto"/>
            <w:vAlign w:val="center"/>
          </w:tcPr>
          <w:p>
            <w:pPr>
              <w:jc w:val="center"/>
              <w:rPr>
                <w:rFonts w:hint="eastAsia" w:ascii="宋体" w:hAnsi="宋体" w:eastAsia="宋体" w:cs="宋体"/>
                <w:i w:val="0"/>
                <w:color w:val="000000"/>
                <w:sz w:val="16"/>
                <w:szCs w:val="16"/>
                <w:u w:val="none"/>
              </w:rPr>
            </w:pPr>
          </w:p>
        </w:tc>
        <w:tc>
          <w:tcPr>
            <w:tcW w:w="153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金额部门：万元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15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w:t>
            </w:r>
            <w:r>
              <w:rPr>
                <w:rFonts w:ascii="Calibri" w:hAnsi="Calibri" w:eastAsia="宋体" w:cs="Calibri"/>
                <w:i w:val="0"/>
                <w:color w:val="000000"/>
                <w:kern w:val="0"/>
                <w:sz w:val="16"/>
                <w:szCs w:val="16"/>
                <w:u w:val="none"/>
                <w:lang w:val="en-US" w:eastAsia="zh-CN" w:bidi="ar"/>
              </w:rPr>
              <w:t xml:space="preserve"> </w:t>
            </w:r>
            <w:r>
              <w:rPr>
                <w:rFonts w:hint="eastAsia" w:ascii="宋体" w:hAnsi="宋体" w:eastAsia="宋体" w:cs="宋体"/>
                <w:i w:val="0"/>
                <w:color w:val="000000"/>
                <w:kern w:val="0"/>
                <w:sz w:val="16"/>
                <w:szCs w:val="16"/>
                <w:u w:val="none"/>
                <w:lang w:val="en-US" w:eastAsia="zh-CN" w:bidi="ar"/>
              </w:rPr>
              <w:t>基本情况</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项目名称</w:t>
            </w:r>
          </w:p>
        </w:tc>
        <w:tc>
          <w:tcPr>
            <w:tcW w:w="25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审计执法经费</w:t>
            </w:r>
          </w:p>
        </w:tc>
        <w:tc>
          <w:tcPr>
            <w:tcW w:w="1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实施(主管）部门</w:t>
            </w:r>
          </w:p>
        </w:tc>
        <w:tc>
          <w:tcPr>
            <w:tcW w:w="437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11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二、预算执行情况</w:t>
            </w:r>
          </w:p>
        </w:tc>
        <w:tc>
          <w:tcPr>
            <w:tcW w:w="25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预算安排情况（调整后）</w:t>
            </w:r>
          </w:p>
        </w:tc>
        <w:tc>
          <w:tcPr>
            <w:tcW w:w="25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资金到位情况</w:t>
            </w:r>
          </w:p>
        </w:tc>
        <w:tc>
          <w:tcPr>
            <w:tcW w:w="28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资金执行情况</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1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预算数：</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749</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到位数：</w:t>
            </w:r>
          </w:p>
        </w:tc>
        <w:tc>
          <w:tcPr>
            <w:tcW w:w="1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749</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执行数：</w:t>
            </w:r>
          </w:p>
        </w:tc>
        <w:tc>
          <w:tcPr>
            <w:tcW w:w="14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434.95</w:t>
            </w:r>
          </w:p>
        </w:tc>
        <w:tc>
          <w:tcPr>
            <w:tcW w:w="15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1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749</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749</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4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434.95</w:t>
            </w: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1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eastAsia="宋体" w:cs="Calibri"/>
                <w:i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3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4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11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三、目标完成情况</w:t>
            </w:r>
          </w:p>
        </w:tc>
        <w:tc>
          <w:tcPr>
            <w:tcW w:w="37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年度预期目标</w:t>
            </w:r>
          </w:p>
        </w:tc>
        <w:tc>
          <w:tcPr>
            <w:tcW w:w="41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具体完成情况</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总体完成率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1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76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通过保障审计人员开展审计业务产生的各项支出，保障审计执法工作顺利开展，维护国家财政经济秩序、促进廉政建设、保障国民经济的健康发展。</w:t>
            </w:r>
          </w:p>
        </w:tc>
        <w:tc>
          <w:tcPr>
            <w:tcW w:w="418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通过保障审计人员开展审计业务产生的各项支出，保障审计执法工作顺利开展，完成全年审计工作任务。</w:t>
            </w:r>
          </w:p>
        </w:tc>
        <w:tc>
          <w:tcPr>
            <w:tcW w:w="15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1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76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418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2" w:hRule="atLeast"/>
        </w:trPr>
        <w:tc>
          <w:tcPr>
            <w:tcW w:w="11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76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418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1152"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四、</w:t>
            </w:r>
            <w:r>
              <w:rPr>
                <w:rFonts w:ascii="Calibri" w:hAnsi="Calibri" w:eastAsia="宋体" w:cs="Calibri"/>
                <w:i w:val="0"/>
                <w:color w:val="000000"/>
                <w:kern w:val="0"/>
                <w:sz w:val="16"/>
                <w:szCs w:val="16"/>
                <w:u w:val="none"/>
                <w:lang w:val="en-US" w:eastAsia="zh-CN" w:bidi="ar"/>
              </w:rPr>
              <w:t xml:space="preserve"> </w:t>
            </w:r>
            <w:r>
              <w:rPr>
                <w:rFonts w:hint="eastAsia" w:ascii="宋体" w:hAnsi="宋体" w:eastAsia="宋体" w:cs="宋体"/>
                <w:i w:val="0"/>
                <w:color w:val="000000"/>
                <w:kern w:val="0"/>
                <w:sz w:val="16"/>
                <w:szCs w:val="16"/>
                <w:u w:val="none"/>
                <w:lang w:val="en-US" w:eastAsia="zh-CN" w:bidi="ar"/>
              </w:rPr>
              <w:t>年度绩效指标完成情况</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一级指标</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二级指标</w:t>
            </w:r>
          </w:p>
        </w:tc>
        <w:tc>
          <w:tcPr>
            <w:tcW w:w="2597" w:type="dxa"/>
            <w:gridSpan w:val="2"/>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三级指标</w:t>
            </w:r>
          </w:p>
        </w:tc>
        <w:tc>
          <w:tcPr>
            <w:tcW w:w="1421"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预期指标值</w:t>
            </w:r>
          </w:p>
        </w:tc>
        <w:tc>
          <w:tcPr>
            <w:tcW w:w="14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实际完成值</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152"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产出指标（40分）</w:t>
            </w:r>
          </w:p>
        </w:tc>
        <w:tc>
          <w:tcPr>
            <w:tcW w:w="1253" w:type="dxa"/>
            <w:tcBorders>
              <w:top w:val="single" w:color="000000" w:sz="4" w:space="0"/>
              <w:lef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数量指标</w:t>
            </w:r>
          </w:p>
        </w:tc>
        <w:tc>
          <w:tcPr>
            <w:tcW w:w="25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完成审计项目的次数占全部审计计划的比例</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 90 %</w:t>
            </w:r>
          </w:p>
        </w:tc>
        <w:tc>
          <w:tcPr>
            <w:tcW w:w="141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1152"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4"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质量指标</w:t>
            </w:r>
          </w:p>
        </w:tc>
        <w:tc>
          <w:tcPr>
            <w:tcW w:w="25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审计项目报告合格率</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≥90 %</w:t>
            </w:r>
          </w:p>
        </w:tc>
        <w:tc>
          <w:tcPr>
            <w:tcW w:w="141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5" w:hRule="atLeast"/>
        </w:trPr>
        <w:tc>
          <w:tcPr>
            <w:tcW w:w="1152"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4"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时效指标</w:t>
            </w:r>
          </w:p>
        </w:tc>
        <w:tc>
          <w:tcPr>
            <w:tcW w:w="25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项目完成时间</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2024年12月31日前</w:t>
            </w:r>
          </w:p>
        </w:tc>
        <w:tc>
          <w:tcPr>
            <w:tcW w:w="141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152"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4"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成本指标</w:t>
            </w:r>
          </w:p>
        </w:tc>
        <w:tc>
          <w:tcPr>
            <w:tcW w:w="25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项目总成本</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 799万元</w:t>
            </w:r>
          </w:p>
        </w:tc>
        <w:tc>
          <w:tcPr>
            <w:tcW w:w="141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749万元</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35" w:hRule="atLeast"/>
        </w:trPr>
        <w:tc>
          <w:tcPr>
            <w:tcW w:w="1152"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253" w:type="dxa"/>
            <w:tcBorders>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w:t>
            </w:r>
          </w:p>
        </w:tc>
        <w:tc>
          <w:tcPr>
            <w:tcW w:w="25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“预算执行率”指标自评得分=预算执行进度*10。</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100.00%</w:t>
            </w:r>
          </w:p>
        </w:tc>
        <w:tc>
          <w:tcPr>
            <w:tcW w:w="141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58%</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152"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4" w:type="dxa"/>
            <w:vMerge w:val="restart"/>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效益指标（40分）</w:t>
            </w:r>
          </w:p>
        </w:tc>
        <w:tc>
          <w:tcPr>
            <w:tcW w:w="1253" w:type="dxa"/>
            <w:tcBorders>
              <w:top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社会效益指标</w:t>
            </w:r>
          </w:p>
        </w:tc>
        <w:tc>
          <w:tcPr>
            <w:tcW w:w="25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保障能力提升情况</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良好保障</w:t>
            </w:r>
          </w:p>
        </w:tc>
        <w:tc>
          <w:tcPr>
            <w:tcW w:w="1419"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良好保障</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5" w:hRule="atLeast"/>
        </w:trPr>
        <w:tc>
          <w:tcPr>
            <w:tcW w:w="1152"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4"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3" w:type="dxa"/>
            <w:tcBorders>
              <w:top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社会效益指标</w:t>
            </w:r>
          </w:p>
        </w:tc>
        <w:tc>
          <w:tcPr>
            <w:tcW w:w="25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被审计部门根据审计建章立制数</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 项</w:t>
            </w:r>
          </w:p>
        </w:tc>
        <w:tc>
          <w:tcPr>
            <w:tcW w:w="141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59项</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152"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4"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3" w:type="dxa"/>
            <w:tcBorders>
              <w:top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社会效益指标</w:t>
            </w:r>
          </w:p>
        </w:tc>
        <w:tc>
          <w:tcPr>
            <w:tcW w:w="25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审计报告中提出的建议采纳率</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≥90 %</w:t>
            </w:r>
          </w:p>
        </w:tc>
        <w:tc>
          <w:tcPr>
            <w:tcW w:w="141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1152"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满意度指标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253" w:type="dxa"/>
            <w:tcBorders>
              <w:top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服务对象满意度指标</w:t>
            </w:r>
          </w:p>
        </w:tc>
        <w:tc>
          <w:tcPr>
            <w:tcW w:w="25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审计违纪投诉率</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 5 %</w:t>
            </w:r>
          </w:p>
        </w:tc>
        <w:tc>
          <w:tcPr>
            <w:tcW w:w="141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0</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152"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794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总分</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95.8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05" w:hRule="atLeast"/>
        </w:trPr>
        <w:tc>
          <w:tcPr>
            <w:tcW w:w="1152"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五、</w:t>
            </w:r>
            <w:r>
              <w:rPr>
                <w:rFonts w:ascii="Calibri" w:hAnsi="Calibri" w:eastAsia="宋体" w:cs="Calibri"/>
                <w:i w:val="0"/>
                <w:color w:val="000000"/>
                <w:kern w:val="0"/>
                <w:sz w:val="16"/>
                <w:szCs w:val="16"/>
                <w:u w:val="none"/>
                <w:lang w:val="en-US" w:eastAsia="zh-CN" w:bidi="ar"/>
              </w:rPr>
              <w:t xml:space="preserve"> </w:t>
            </w:r>
            <w:r>
              <w:rPr>
                <w:rFonts w:hint="eastAsia" w:ascii="宋体" w:hAnsi="宋体" w:eastAsia="宋体" w:cs="宋体"/>
                <w:i w:val="0"/>
                <w:color w:val="000000"/>
                <w:kern w:val="0"/>
                <w:sz w:val="16"/>
                <w:szCs w:val="16"/>
                <w:u w:val="none"/>
                <w:lang w:val="en-US" w:eastAsia="zh-CN" w:bidi="ar"/>
              </w:rPr>
              <w:t>存在问题、原因及下一步整改措施</w:t>
            </w:r>
          </w:p>
        </w:tc>
        <w:tc>
          <w:tcPr>
            <w:tcW w:w="947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原因：23年审计项目83个，24年审计项目67个，审计项目数量减少，预算执行力偏低。整改措施：根据审计工作开展情况及实际资金需求，合理编制预算，科学设定绩效指标，进一步完善绩效评价结果运用机制，将评价结果作为申报下年度预算的重要依据，发挥绩效评价工作应有的作用，提高资金使用效益。</w:t>
            </w:r>
          </w:p>
        </w:tc>
      </w:tr>
    </w:tbl>
    <w:p>
      <w:pPr>
        <w:rPr>
          <w:rFonts w:hint="eastAsia"/>
          <w:lang w:val="en-US" w:eastAsia="zh-CN"/>
        </w:rPr>
      </w:pPr>
    </w:p>
    <w:p>
      <w:pPr>
        <w:pStyle w:val="12"/>
        <w:rPr>
          <w:rFonts w:hint="eastAsia" w:ascii="Times New Roman" w:eastAsia="仿宋_GB2312" w:cs="宋体" w:hAnsiTheme="minorHAnsi"/>
          <w:b/>
          <w:color w:val="auto"/>
          <w:kern w:val="0"/>
          <w:sz w:val="32"/>
          <w:szCs w:val="32"/>
          <w:lang w:val="en-US" w:eastAsia="zh-CN" w:bidi="ar-SA"/>
        </w:rPr>
      </w:pPr>
    </w:p>
    <w:p>
      <w:pPr>
        <w:pStyle w:val="12"/>
        <w:rPr>
          <w:rFonts w:hint="eastAsia" w:ascii="Times New Roman" w:eastAsia="仿宋_GB2312" w:cs="宋体" w:hAnsiTheme="minorHAnsi"/>
          <w:b/>
          <w:color w:val="auto"/>
          <w:kern w:val="0"/>
          <w:sz w:val="32"/>
          <w:szCs w:val="32"/>
          <w:lang w:val="en-US" w:eastAsia="zh-CN" w:bidi="ar-SA"/>
        </w:rPr>
      </w:pPr>
    </w:p>
    <w:p>
      <w:pPr>
        <w:pStyle w:val="12"/>
        <w:rPr>
          <w:rFonts w:hint="eastAsia" w:ascii="Times New Roman" w:eastAsia="仿宋_GB2312" w:cs="宋体" w:hAnsiTheme="minorHAnsi"/>
          <w:b/>
          <w:color w:val="auto"/>
          <w:kern w:val="0"/>
          <w:sz w:val="32"/>
          <w:szCs w:val="32"/>
          <w:lang w:val="en-US" w:eastAsia="zh-CN" w:bidi="ar-SA"/>
        </w:rPr>
      </w:pPr>
      <w:r>
        <w:rPr>
          <w:rFonts w:hint="eastAsia" w:ascii="Times New Roman" w:eastAsia="仿宋_GB2312" w:cs="宋体" w:hAnsiTheme="minorHAnsi"/>
          <w:b/>
          <w:color w:val="auto"/>
          <w:kern w:val="0"/>
          <w:sz w:val="32"/>
          <w:szCs w:val="32"/>
          <w:lang w:val="en-US" w:eastAsia="zh-CN" w:bidi="ar-SA"/>
        </w:rPr>
        <w:t>数据流量和处理费</w:t>
      </w:r>
    </w:p>
    <w:tbl>
      <w:tblPr>
        <w:tblStyle w:val="16"/>
        <w:tblpPr w:leftFromText="180" w:rightFromText="180" w:vertAnchor="text" w:horzAnchor="page" w:tblpX="1020" w:tblpY="651"/>
        <w:tblOverlap w:val="never"/>
        <w:tblW w:w="104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49"/>
        <w:gridCol w:w="1268"/>
        <w:gridCol w:w="1270"/>
        <w:gridCol w:w="1298"/>
        <w:gridCol w:w="1329"/>
        <w:gridCol w:w="1076"/>
        <w:gridCol w:w="1761"/>
        <w:gridCol w:w="13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10465" w:type="dxa"/>
            <w:gridSpan w:val="8"/>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0"/>
                <w:szCs w:val="40"/>
                <w:u w:val="none"/>
              </w:rPr>
            </w:pPr>
            <w:r>
              <w:rPr>
                <w:rFonts w:hint="eastAsia" w:ascii="方正小标宋简体" w:hAnsi="方正小标宋简体" w:eastAsia="方正小标宋简体" w:cs="方正小标宋简体"/>
                <w:i w:val="0"/>
                <w:color w:val="000000"/>
                <w:kern w:val="0"/>
                <w:sz w:val="40"/>
                <w:szCs w:val="40"/>
                <w:u w:val="none"/>
                <w:lang w:val="en-US" w:eastAsia="zh-CN" w:bidi="ar"/>
              </w:rPr>
              <w:t>市级部门预算项目绩效自评表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10465" w:type="dxa"/>
            <w:gridSpan w:val="8"/>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114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填报部门：</w:t>
            </w:r>
          </w:p>
        </w:tc>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c>
          <w:tcPr>
            <w:tcW w:w="1270" w:type="dxa"/>
            <w:shd w:val="clear" w:color="auto" w:fill="auto"/>
            <w:vAlign w:val="center"/>
          </w:tcPr>
          <w:p>
            <w:pPr>
              <w:jc w:val="center"/>
              <w:rPr>
                <w:rFonts w:hint="eastAsia" w:ascii="宋体" w:hAnsi="宋体" w:eastAsia="宋体" w:cs="宋体"/>
                <w:i w:val="0"/>
                <w:color w:val="000000"/>
                <w:sz w:val="16"/>
                <w:szCs w:val="16"/>
                <w:u w:val="none"/>
              </w:rPr>
            </w:pPr>
          </w:p>
        </w:tc>
        <w:tc>
          <w:tcPr>
            <w:tcW w:w="1298" w:type="dxa"/>
            <w:shd w:val="clear" w:color="auto" w:fill="auto"/>
            <w:vAlign w:val="center"/>
          </w:tcPr>
          <w:p>
            <w:pPr>
              <w:jc w:val="center"/>
              <w:rPr>
                <w:rFonts w:hint="eastAsia" w:ascii="宋体" w:hAnsi="宋体" w:eastAsia="宋体" w:cs="宋体"/>
                <w:i w:val="0"/>
                <w:color w:val="000000"/>
                <w:sz w:val="16"/>
                <w:szCs w:val="16"/>
                <w:u w:val="none"/>
              </w:rPr>
            </w:pPr>
          </w:p>
        </w:tc>
        <w:tc>
          <w:tcPr>
            <w:tcW w:w="1329" w:type="dxa"/>
            <w:shd w:val="clear" w:color="auto" w:fill="auto"/>
            <w:vAlign w:val="center"/>
          </w:tcPr>
          <w:p>
            <w:pPr>
              <w:jc w:val="center"/>
              <w:rPr>
                <w:rFonts w:hint="eastAsia" w:ascii="宋体" w:hAnsi="宋体" w:eastAsia="宋体" w:cs="宋体"/>
                <w:i w:val="0"/>
                <w:color w:val="000000"/>
                <w:sz w:val="16"/>
                <w:szCs w:val="16"/>
                <w:u w:val="none"/>
              </w:rPr>
            </w:pPr>
          </w:p>
        </w:tc>
        <w:tc>
          <w:tcPr>
            <w:tcW w:w="1076" w:type="dxa"/>
            <w:shd w:val="clear" w:color="auto" w:fill="auto"/>
            <w:vAlign w:val="center"/>
          </w:tcPr>
          <w:p>
            <w:pPr>
              <w:jc w:val="center"/>
              <w:rPr>
                <w:rFonts w:hint="eastAsia" w:ascii="宋体" w:hAnsi="宋体" w:eastAsia="宋体" w:cs="宋体"/>
                <w:i w:val="0"/>
                <w:color w:val="000000"/>
                <w:sz w:val="16"/>
                <w:szCs w:val="16"/>
                <w:u w:val="none"/>
              </w:rPr>
            </w:pPr>
          </w:p>
        </w:tc>
        <w:tc>
          <w:tcPr>
            <w:tcW w:w="1761" w:type="dxa"/>
            <w:shd w:val="clear" w:color="auto" w:fill="auto"/>
            <w:vAlign w:val="center"/>
          </w:tcPr>
          <w:p>
            <w:pPr>
              <w:jc w:val="center"/>
              <w:rPr>
                <w:rFonts w:hint="eastAsia" w:ascii="宋体" w:hAnsi="宋体" w:eastAsia="宋体" w:cs="宋体"/>
                <w:i w:val="0"/>
                <w:color w:val="000000"/>
                <w:sz w:val="16"/>
                <w:szCs w:val="16"/>
                <w:u w:val="none"/>
              </w:rPr>
            </w:pPr>
          </w:p>
        </w:tc>
        <w:tc>
          <w:tcPr>
            <w:tcW w:w="131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金额部门：万元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14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Style w:val="29"/>
                <w:lang w:val="en-US" w:eastAsia="zh-CN" w:bidi="ar"/>
              </w:rPr>
              <w:t>一、</w:t>
            </w:r>
            <w:r>
              <w:rPr>
                <w:rStyle w:val="30"/>
                <w:rFonts w:eastAsia="宋体"/>
                <w:lang w:val="en-US" w:eastAsia="zh-CN" w:bidi="ar"/>
              </w:rPr>
              <w:t xml:space="preserve"> </w:t>
            </w:r>
            <w:r>
              <w:rPr>
                <w:rStyle w:val="29"/>
                <w:lang w:val="en-US" w:eastAsia="zh-CN" w:bidi="ar"/>
              </w:rPr>
              <w:t>基本情况</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项目名称</w:t>
            </w:r>
          </w:p>
        </w:tc>
        <w:tc>
          <w:tcPr>
            <w:tcW w:w="2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数据流量和处理费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实施(主管）部门</w:t>
            </w:r>
          </w:p>
        </w:tc>
        <w:tc>
          <w:tcPr>
            <w:tcW w:w="41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5" w:hRule="atLeast"/>
        </w:trPr>
        <w:tc>
          <w:tcPr>
            <w:tcW w:w="11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二、预算执行情况</w:t>
            </w:r>
          </w:p>
        </w:tc>
        <w:tc>
          <w:tcPr>
            <w:tcW w:w="25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预算安排情况（调整后）</w:t>
            </w:r>
          </w:p>
        </w:tc>
        <w:tc>
          <w:tcPr>
            <w:tcW w:w="2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资金到位情况</w:t>
            </w:r>
          </w:p>
        </w:tc>
        <w:tc>
          <w:tcPr>
            <w:tcW w:w="28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资金执行情况</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1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预算数：</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120.796</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到位数：</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120.796</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执行数：</w:t>
            </w:r>
          </w:p>
        </w:tc>
        <w:tc>
          <w:tcPr>
            <w:tcW w:w="1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110.66</w:t>
            </w:r>
          </w:p>
        </w:tc>
        <w:tc>
          <w:tcPr>
            <w:tcW w:w="13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1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120.796</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120.796</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110.66</w:t>
            </w:r>
          </w:p>
        </w:tc>
        <w:tc>
          <w:tcPr>
            <w:tcW w:w="13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1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eastAsia="宋体" w:cs="Calibri"/>
                <w:i w:val="0"/>
                <w:color w:val="000000"/>
                <w:sz w:val="21"/>
                <w:szCs w:val="21"/>
                <w:u w:val="none"/>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7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3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11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三、目标完成情况</w:t>
            </w:r>
          </w:p>
        </w:tc>
        <w:tc>
          <w:tcPr>
            <w:tcW w:w="38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年度预期目标</w:t>
            </w:r>
          </w:p>
        </w:tc>
        <w:tc>
          <w:tcPr>
            <w:tcW w:w="41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具体完成情况</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总体完成率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rPr>
        <w:tc>
          <w:tcPr>
            <w:tcW w:w="11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836" w:type="dxa"/>
            <w:gridSpan w:val="3"/>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通过购买数据流量和处理服务，保障计算机技术与管理需求和业务需求有效结合，达到提高审计业务人力技术、数据资源的整合力度效果，确保审计数据的安全性，提高数据存储和计算能力，加强大数据环境下的审计作业能力，提高审计效能和质量。</w:t>
            </w:r>
          </w:p>
        </w:tc>
        <w:tc>
          <w:tcPr>
            <w:tcW w:w="4166" w:type="dxa"/>
            <w:gridSpan w:val="3"/>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购买数据流量和处理服务，对审计数据进行分析筛选，加强大数据环境下的审计作业能力，助力完成全年审计工作任务，提高审计效能和质量。</w:t>
            </w:r>
          </w:p>
        </w:tc>
        <w:tc>
          <w:tcPr>
            <w:tcW w:w="131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5" w:hRule="atLeast"/>
        </w:trPr>
        <w:tc>
          <w:tcPr>
            <w:tcW w:w="11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836" w:type="dxa"/>
            <w:gridSpan w:val="3"/>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4166" w:type="dxa"/>
            <w:gridSpan w:val="3"/>
            <w:vMerge w:val="continue"/>
            <w:tcBorders>
              <w:top w:val="single" w:color="000000" w:sz="4" w:space="0"/>
              <w:left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1314"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11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836" w:type="dxa"/>
            <w:gridSpan w:val="3"/>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4166" w:type="dxa"/>
            <w:gridSpan w:val="3"/>
            <w:vMerge w:val="continue"/>
            <w:tcBorders>
              <w:top w:val="single" w:color="000000" w:sz="4" w:space="0"/>
              <w:left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1314"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149"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Style w:val="29"/>
                <w:lang w:val="en-US" w:eastAsia="zh-CN" w:bidi="ar"/>
              </w:rPr>
              <w:t>四、</w:t>
            </w:r>
            <w:r>
              <w:rPr>
                <w:rStyle w:val="30"/>
                <w:rFonts w:eastAsia="宋体"/>
                <w:lang w:val="en-US" w:eastAsia="zh-CN" w:bidi="ar"/>
              </w:rPr>
              <w:t xml:space="preserve"> </w:t>
            </w:r>
            <w:r>
              <w:rPr>
                <w:rStyle w:val="29"/>
                <w:lang w:val="en-US" w:eastAsia="zh-CN" w:bidi="ar"/>
              </w:rPr>
              <w:t>年度绩效指标完成情况</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一级指标</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二级指标</w:t>
            </w:r>
          </w:p>
        </w:tc>
        <w:tc>
          <w:tcPr>
            <w:tcW w:w="2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三级指标</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预期指标值</w:t>
            </w:r>
          </w:p>
        </w:tc>
        <w:tc>
          <w:tcPr>
            <w:tcW w:w="1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实际完成值</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149"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产出指标（40分）</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数量指标</w:t>
            </w:r>
          </w:p>
        </w:tc>
        <w:tc>
          <w:tcPr>
            <w:tcW w:w="2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提取数据部门数量</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 xml:space="preserve">≥800个 </w:t>
            </w:r>
          </w:p>
        </w:tc>
        <w:tc>
          <w:tcPr>
            <w:tcW w:w="1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1413个</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149"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质量指标</w:t>
            </w:r>
          </w:p>
        </w:tc>
        <w:tc>
          <w:tcPr>
            <w:tcW w:w="2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数据处理质量</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≥90 %</w:t>
            </w:r>
          </w:p>
        </w:tc>
        <w:tc>
          <w:tcPr>
            <w:tcW w:w="1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149"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时效指标</w:t>
            </w:r>
          </w:p>
        </w:tc>
        <w:tc>
          <w:tcPr>
            <w:tcW w:w="2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审计数据处理完成时间</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2024年12月31日前</w:t>
            </w:r>
          </w:p>
        </w:tc>
        <w:tc>
          <w:tcPr>
            <w:tcW w:w="1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2024年12月31日前</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149"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成本指标</w:t>
            </w:r>
          </w:p>
        </w:tc>
        <w:tc>
          <w:tcPr>
            <w:tcW w:w="2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项目总成本</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≤138万元</w:t>
            </w:r>
          </w:p>
        </w:tc>
        <w:tc>
          <w:tcPr>
            <w:tcW w:w="1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110.66万元</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55" w:hRule="atLeast"/>
        </w:trPr>
        <w:tc>
          <w:tcPr>
            <w:tcW w:w="1149"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w:t>
            </w:r>
          </w:p>
        </w:tc>
        <w:tc>
          <w:tcPr>
            <w:tcW w:w="2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“预算执行率”指标自评得分=预算执行进度*10。</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100.00%</w:t>
            </w:r>
          </w:p>
        </w:tc>
        <w:tc>
          <w:tcPr>
            <w:tcW w:w="1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92%</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149"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效益指标（40分）</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社会效益指标</w:t>
            </w:r>
          </w:p>
        </w:tc>
        <w:tc>
          <w:tcPr>
            <w:tcW w:w="2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审计作业能力提升</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效果良好</w:t>
            </w:r>
          </w:p>
        </w:tc>
        <w:tc>
          <w:tcPr>
            <w:tcW w:w="1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效果良好</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149"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满意度指标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服务对象满意度指标</w:t>
            </w:r>
          </w:p>
        </w:tc>
        <w:tc>
          <w:tcPr>
            <w:tcW w:w="2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服务对象满意度</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≥90 %</w:t>
            </w:r>
          </w:p>
        </w:tc>
        <w:tc>
          <w:tcPr>
            <w:tcW w:w="1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149"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80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总分</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97.2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05" w:hRule="atLeast"/>
        </w:trPr>
        <w:tc>
          <w:tcPr>
            <w:tcW w:w="1149"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Style w:val="29"/>
                <w:lang w:val="en-US" w:eastAsia="zh-CN" w:bidi="ar"/>
              </w:rPr>
              <w:t>五、</w:t>
            </w:r>
            <w:r>
              <w:rPr>
                <w:rStyle w:val="30"/>
                <w:rFonts w:eastAsia="宋体"/>
                <w:lang w:val="en-US" w:eastAsia="zh-CN" w:bidi="ar"/>
              </w:rPr>
              <w:t xml:space="preserve"> </w:t>
            </w:r>
            <w:r>
              <w:rPr>
                <w:rStyle w:val="29"/>
                <w:lang w:val="en-US" w:eastAsia="zh-CN" w:bidi="ar"/>
              </w:rPr>
              <w:t>存在问题、原因及下一步整改措施</w:t>
            </w:r>
          </w:p>
        </w:tc>
        <w:tc>
          <w:tcPr>
            <w:tcW w:w="931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降低数据使用成本，提高数据分析效率，提升大数据审计应用能力，提高业务+技术复合型人才覆盖率，进一步加强大数据环境下的审计作业能力，提高审计效能和质量。</w:t>
            </w:r>
          </w:p>
        </w:tc>
      </w:tr>
    </w:tbl>
    <w:p>
      <w:pPr>
        <w:pStyle w:val="12"/>
        <w:rPr>
          <w:rFonts w:hint="eastAsia" w:ascii="Times New Roman" w:eastAsia="仿宋_GB2312" w:cs="宋体" w:hAnsiTheme="minorHAnsi"/>
          <w:b/>
          <w:color w:val="auto"/>
          <w:kern w:val="0"/>
          <w:sz w:val="32"/>
          <w:szCs w:val="32"/>
          <w:lang w:val="en-US" w:eastAsia="zh-CN" w:bidi="ar-SA"/>
        </w:rPr>
      </w:pPr>
    </w:p>
    <w:p>
      <w:pPr>
        <w:pStyle w:val="12"/>
        <w:rPr>
          <w:rFonts w:hint="eastAsia" w:ascii="Times New Roman" w:eastAsia="仿宋_GB2312" w:cs="宋体" w:hAnsiTheme="minorHAnsi"/>
          <w:b/>
          <w:color w:val="auto"/>
          <w:kern w:val="0"/>
          <w:sz w:val="32"/>
          <w:szCs w:val="32"/>
          <w:lang w:val="en-US" w:eastAsia="zh-CN" w:bidi="ar-SA"/>
        </w:rPr>
      </w:pPr>
    </w:p>
    <w:p>
      <w:pPr>
        <w:pStyle w:val="12"/>
        <w:rPr>
          <w:rFonts w:hint="eastAsia" w:ascii="Times New Roman" w:eastAsia="仿宋_GB2312" w:cs="宋体" w:hAnsiTheme="minorHAnsi"/>
          <w:b/>
          <w:color w:val="auto"/>
          <w:kern w:val="0"/>
          <w:sz w:val="32"/>
          <w:szCs w:val="32"/>
          <w:lang w:val="en-US" w:eastAsia="zh-CN" w:bidi="ar-SA"/>
        </w:rPr>
      </w:pPr>
      <w:r>
        <w:rPr>
          <w:rFonts w:hint="eastAsia" w:ascii="Times New Roman" w:eastAsia="仿宋_GB2312" w:cs="宋体" w:hAnsiTheme="minorHAnsi"/>
          <w:b/>
          <w:color w:val="auto"/>
          <w:kern w:val="0"/>
          <w:sz w:val="32"/>
          <w:szCs w:val="32"/>
          <w:lang w:val="en-US" w:eastAsia="zh-CN" w:bidi="ar-SA"/>
        </w:rPr>
        <w:t>聘用审计专业人员劳务费用</w:t>
      </w:r>
    </w:p>
    <w:p>
      <w:pPr>
        <w:pStyle w:val="10"/>
        <w:rPr>
          <w:rFonts w:hint="eastAsia"/>
          <w:lang w:val="en-US" w:eastAsia="zh-CN"/>
        </w:rPr>
      </w:pPr>
    </w:p>
    <w:tbl>
      <w:tblPr>
        <w:tblStyle w:val="16"/>
        <w:tblW w:w="1040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87"/>
        <w:gridCol w:w="1210"/>
        <w:gridCol w:w="1217"/>
        <w:gridCol w:w="1210"/>
        <w:gridCol w:w="1327"/>
        <w:gridCol w:w="1045"/>
        <w:gridCol w:w="1327"/>
        <w:gridCol w:w="19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10406" w:type="dxa"/>
            <w:gridSpan w:val="8"/>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0"/>
                <w:szCs w:val="40"/>
                <w:u w:val="none"/>
              </w:rPr>
            </w:pPr>
            <w:r>
              <w:rPr>
                <w:rFonts w:hint="eastAsia" w:ascii="方正小标宋简体" w:hAnsi="方正小标宋简体" w:eastAsia="方正小标宋简体" w:cs="方正小标宋简体"/>
                <w:i w:val="0"/>
                <w:color w:val="000000"/>
                <w:kern w:val="0"/>
                <w:sz w:val="40"/>
                <w:szCs w:val="40"/>
                <w:u w:val="none"/>
                <w:lang w:val="en-US" w:eastAsia="zh-CN" w:bidi="ar"/>
              </w:rPr>
              <w:t>市级部门预算项目绩效自评表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10406" w:type="dxa"/>
            <w:gridSpan w:val="8"/>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1087"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填报部门：</w:t>
            </w:r>
          </w:p>
        </w:tc>
        <w:tc>
          <w:tcPr>
            <w:tcW w:w="12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c>
          <w:tcPr>
            <w:tcW w:w="1217" w:type="dxa"/>
            <w:shd w:val="clear" w:color="auto" w:fill="auto"/>
            <w:vAlign w:val="center"/>
          </w:tcPr>
          <w:p>
            <w:pPr>
              <w:jc w:val="center"/>
              <w:rPr>
                <w:rFonts w:hint="eastAsia" w:ascii="宋体" w:hAnsi="宋体" w:eastAsia="宋体" w:cs="宋体"/>
                <w:i w:val="0"/>
                <w:color w:val="000000"/>
                <w:sz w:val="16"/>
                <w:szCs w:val="16"/>
                <w:u w:val="none"/>
              </w:rPr>
            </w:pPr>
          </w:p>
        </w:tc>
        <w:tc>
          <w:tcPr>
            <w:tcW w:w="1210" w:type="dxa"/>
            <w:shd w:val="clear" w:color="auto" w:fill="auto"/>
            <w:vAlign w:val="center"/>
          </w:tcPr>
          <w:p>
            <w:pPr>
              <w:jc w:val="center"/>
              <w:rPr>
                <w:rFonts w:hint="eastAsia" w:ascii="宋体" w:hAnsi="宋体" w:eastAsia="宋体" w:cs="宋体"/>
                <w:i w:val="0"/>
                <w:color w:val="000000"/>
                <w:sz w:val="16"/>
                <w:szCs w:val="16"/>
                <w:u w:val="none"/>
              </w:rPr>
            </w:pPr>
          </w:p>
        </w:tc>
        <w:tc>
          <w:tcPr>
            <w:tcW w:w="1327" w:type="dxa"/>
            <w:shd w:val="clear" w:color="auto" w:fill="auto"/>
            <w:vAlign w:val="center"/>
          </w:tcPr>
          <w:p>
            <w:pPr>
              <w:jc w:val="center"/>
              <w:rPr>
                <w:rFonts w:hint="eastAsia" w:ascii="宋体" w:hAnsi="宋体" w:eastAsia="宋体" w:cs="宋体"/>
                <w:i w:val="0"/>
                <w:color w:val="000000"/>
                <w:sz w:val="16"/>
                <w:szCs w:val="16"/>
                <w:u w:val="none"/>
              </w:rPr>
            </w:pPr>
          </w:p>
        </w:tc>
        <w:tc>
          <w:tcPr>
            <w:tcW w:w="1045" w:type="dxa"/>
            <w:shd w:val="clear" w:color="auto" w:fill="auto"/>
            <w:vAlign w:val="center"/>
          </w:tcPr>
          <w:p>
            <w:pPr>
              <w:jc w:val="center"/>
              <w:rPr>
                <w:rFonts w:hint="eastAsia" w:ascii="宋体" w:hAnsi="宋体" w:eastAsia="宋体" w:cs="宋体"/>
                <w:i w:val="0"/>
                <w:color w:val="000000"/>
                <w:sz w:val="16"/>
                <w:szCs w:val="16"/>
                <w:u w:val="none"/>
              </w:rPr>
            </w:pPr>
          </w:p>
        </w:tc>
        <w:tc>
          <w:tcPr>
            <w:tcW w:w="1327" w:type="dxa"/>
            <w:shd w:val="clear" w:color="auto" w:fill="auto"/>
            <w:vAlign w:val="center"/>
          </w:tcPr>
          <w:p>
            <w:pPr>
              <w:jc w:val="center"/>
              <w:rPr>
                <w:rFonts w:hint="eastAsia" w:ascii="宋体" w:hAnsi="宋体" w:eastAsia="宋体" w:cs="宋体"/>
                <w:i w:val="0"/>
                <w:color w:val="000000"/>
                <w:sz w:val="16"/>
                <w:szCs w:val="16"/>
                <w:u w:val="none"/>
              </w:rPr>
            </w:pPr>
          </w:p>
        </w:tc>
        <w:tc>
          <w:tcPr>
            <w:tcW w:w="1983"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金额部门：万元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87"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w:t>
            </w:r>
            <w:r>
              <w:rPr>
                <w:rFonts w:ascii="Calibri" w:hAnsi="Calibri" w:eastAsia="宋体" w:cs="Calibri"/>
                <w:i w:val="0"/>
                <w:color w:val="000000"/>
                <w:kern w:val="0"/>
                <w:sz w:val="16"/>
                <w:szCs w:val="16"/>
                <w:u w:val="none"/>
                <w:lang w:val="en-US" w:eastAsia="zh-CN" w:bidi="ar"/>
              </w:rPr>
              <w:t xml:space="preserve"> </w:t>
            </w:r>
            <w:r>
              <w:rPr>
                <w:rFonts w:hint="eastAsia" w:ascii="宋体" w:hAnsi="宋体" w:eastAsia="宋体" w:cs="宋体"/>
                <w:i w:val="0"/>
                <w:color w:val="000000"/>
                <w:kern w:val="0"/>
                <w:sz w:val="16"/>
                <w:szCs w:val="16"/>
                <w:u w:val="none"/>
                <w:lang w:val="en-US" w:eastAsia="zh-CN" w:bidi="ar"/>
              </w:rPr>
              <w:t>基本情况</w:t>
            </w: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项目名称</w:t>
            </w:r>
          </w:p>
        </w:tc>
        <w:tc>
          <w:tcPr>
            <w:tcW w:w="24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聘用审计专业人员劳务费用</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实施(主管）部门</w:t>
            </w:r>
          </w:p>
        </w:tc>
        <w:tc>
          <w:tcPr>
            <w:tcW w:w="435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rPr>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二、预算执行情况</w:t>
            </w:r>
          </w:p>
        </w:tc>
        <w:tc>
          <w:tcPr>
            <w:tcW w:w="24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预算安排情况（调整后）</w:t>
            </w:r>
          </w:p>
        </w:tc>
        <w:tc>
          <w:tcPr>
            <w:tcW w:w="2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资金到位情况</w:t>
            </w:r>
          </w:p>
        </w:tc>
        <w:tc>
          <w:tcPr>
            <w:tcW w:w="2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资金执行情况</w:t>
            </w:r>
          </w:p>
        </w:tc>
        <w:tc>
          <w:tcPr>
            <w:tcW w:w="1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预算数：</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75.88</w:t>
            </w: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到位数：</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75.88</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执行数：</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75.88</w:t>
            </w:r>
          </w:p>
        </w:tc>
        <w:tc>
          <w:tcPr>
            <w:tcW w:w="19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75.88</w:t>
            </w: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75.88</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75.88</w:t>
            </w:r>
          </w:p>
        </w:tc>
        <w:tc>
          <w:tcPr>
            <w:tcW w:w="19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eastAsia="宋体" w:cs="Calibri"/>
                <w:i w:val="0"/>
                <w:color w:val="000000"/>
                <w:sz w:val="21"/>
                <w:szCs w:val="21"/>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9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三、目标完成情况</w:t>
            </w:r>
          </w:p>
        </w:tc>
        <w:tc>
          <w:tcPr>
            <w:tcW w:w="36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年度预期目标</w:t>
            </w:r>
          </w:p>
        </w:tc>
        <w:tc>
          <w:tcPr>
            <w:tcW w:w="369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具体完成情况</w:t>
            </w:r>
          </w:p>
        </w:tc>
        <w:tc>
          <w:tcPr>
            <w:tcW w:w="1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总体完成率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5" w:hRule="atLeast"/>
        </w:trPr>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63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通过聘用劳务派遣人员，加强审计力量，提高审计业务质量。</w:t>
            </w:r>
          </w:p>
        </w:tc>
        <w:tc>
          <w:tcPr>
            <w:tcW w:w="369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聘用人员均已到岗，开展审计工作，强化审计力量，助力完成审计任务。</w:t>
            </w:r>
          </w:p>
        </w:tc>
        <w:tc>
          <w:tcPr>
            <w:tcW w:w="19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63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69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9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5" w:hRule="atLeast"/>
        </w:trPr>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63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69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9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9" w:hRule="atLeast"/>
        </w:trPr>
        <w:tc>
          <w:tcPr>
            <w:tcW w:w="1087"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四、</w:t>
            </w:r>
            <w:r>
              <w:rPr>
                <w:rFonts w:ascii="Calibri" w:hAnsi="Calibri" w:eastAsia="宋体" w:cs="Calibri"/>
                <w:i w:val="0"/>
                <w:color w:val="000000"/>
                <w:kern w:val="0"/>
                <w:sz w:val="16"/>
                <w:szCs w:val="16"/>
                <w:u w:val="none"/>
                <w:lang w:val="en-US" w:eastAsia="zh-CN" w:bidi="ar"/>
              </w:rPr>
              <w:t xml:space="preserve"> </w:t>
            </w:r>
            <w:r>
              <w:rPr>
                <w:rFonts w:hint="eastAsia" w:ascii="宋体" w:hAnsi="宋体" w:eastAsia="宋体" w:cs="宋体"/>
                <w:i w:val="0"/>
                <w:color w:val="000000"/>
                <w:kern w:val="0"/>
                <w:sz w:val="16"/>
                <w:szCs w:val="16"/>
                <w:u w:val="none"/>
                <w:lang w:val="en-US" w:eastAsia="zh-CN" w:bidi="ar"/>
              </w:rPr>
              <w:t>年度绩效指标完成情况</w:t>
            </w:r>
          </w:p>
        </w:tc>
        <w:tc>
          <w:tcPr>
            <w:tcW w:w="121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一级指标</w:t>
            </w:r>
          </w:p>
        </w:tc>
        <w:tc>
          <w:tcPr>
            <w:tcW w:w="1217"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二级指标</w:t>
            </w:r>
          </w:p>
        </w:tc>
        <w:tc>
          <w:tcPr>
            <w:tcW w:w="2537" w:type="dxa"/>
            <w:gridSpan w:val="2"/>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三级指标</w:t>
            </w:r>
          </w:p>
        </w:tc>
        <w:tc>
          <w:tcPr>
            <w:tcW w:w="104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预期指标值</w:t>
            </w:r>
          </w:p>
        </w:tc>
        <w:tc>
          <w:tcPr>
            <w:tcW w:w="1327"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实际完成值</w:t>
            </w:r>
          </w:p>
        </w:tc>
        <w:tc>
          <w:tcPr>
            <w:tcW w:w="1983"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087"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产出指标（40分）</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数量指标</w:t>
            </w:r>
          </w:p>
        </w:tc>
        <w:tc>
          <w:tcPr>
            <w:tcW w:w="2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聘用劳务派遣人员数量</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≤20人</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18人</w:t>
            </w:r>
          </w:p>
        </w:tc>
        <w:tc>
          <w:tcPr>
            <w:tcW w:w="1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087"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质量指标</w:t>
            </w:r>
          </w:p>
        </w:tc>
        <w:tc>
          <w:tcPr>
            <w:tcW w:w="2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聘用人员及时到岗率</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≥90%</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087"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时效指标</w:t>
            </w:r>
          </w:p>
        </w:tc>
        <w:tc>
          <w:tcPr>
            <w:tcW w:w="2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聘用人员时间</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2024年12月31日前</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w:t>
            </w:r>
          </w:p>
        </w:tc>
        <w:tc>
          <w:tcPr>
            <w:tcW w:w="1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087"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成本指标</w:t>
            </w:r>
          </w:p>
        </w:tc>
        <w:tc>
          <w:tcPr>
            <w:tcW w:w="2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项目总成本</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≤115.83万元</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75.88万元</w:t>
            </w:r>
          </w:p>
        </w:tc>
        <w:tc>
          <w:tcPr>
            <w:tcW w:w="1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5" w:hRule="atLeast"/>
        </w:trPr>
        <w:tc>
          <w:tcPr>
            <w:tcW w:w="1087"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w:t>
            </w:r>
          </w:p>
        </w:tc>
        <w:tc>
          <w:tcPr>
            <w:tcW w:w="2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“预算执行率”指标自评得分=预算执行进度*10。</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100.00%</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087"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效益指标（40分）</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社会效益指标</w:t>
            </w:r>
          </w:p>
        </w:tc>
        <w:tc>
          <w:tcPr>
            <w:tcW w:w="2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服务效果</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按时发放劳务聘用人员工资，提高服务水平</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效果良好</w:t>
            </w:r>
          </w:p>
        </w:tc>
        <w:tc>
          <w:tcPr>
            <w:tcW w:w="1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087"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满意度指标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服务对象满意度指标</w:t>
            </w:r>
          </w:p>
        </w:tc>
        <w:tc>
          <w:tcPr>
            <w:tcW w:w="2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主管部门对聘用人员满意度</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≥90%</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4" w:hRule="atLeast"/>
        </w:trPr>
        <w:tc>
          <w:tcPr>
            <w:tcW w:w="1087"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733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总分</w:t>
            </w:r>
          </w:p>
        </w:tc>
        <w:tc>
          <w:tcPr>
            <w:tcW w:w="1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3" w:hRule="atLeast"/>
        </w:trPr>
        <w:tc>
          <w:tcPr>
            <w:tcW w:w="1087"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五、</w:t>
            </w:r>
            <w:r>
              <w:rPr>
                <w:rFonts w:ascii="Calibri" w:hAnsi="Calibri" w:eastAsia="宋体" w:cs="Calibri"/>
                <w:i w:val="0"/>
                <w:color w:val="000000"/>
                <w:kern w:val="0"/>
                <w:sz w:val="16"/>
                <w:szCs w:val="16"/>
                <w:u w:val="none"/>
                <w:lang w:val="en-US" w:eastAsia="zh-CN" w:bidi="ar"/>
              </w:rPr>
              <w:t xml:space="preserve"> </w:t>
            </w:r>
            <w:r>
              <w:rPr>
                <w:rFonts w:hint="eastAsia" w:ascii="宋体" w:hAnsi="宋体" w:eastAsia="宋体" w:cs="宋体"/>
                <w:i w:val="0"/>
                <w:color w:val="000000"/>
                <w:kern w:val="0"/>
                <w:sz w:val="16"/>
                <w:szCs w:val="16"/>
                <w:u w:val="none"/>
                <w:lang w:val="en-US" w:eastAsia="zh-CN" w:bidi="ar"/>
              </w:rPr>
              <w:t>存在问题、原因及下一步整改措施</w:t>
            </w:r>
          </w:p>
        </w:tc>
        <w:tc>
          <w:tcPr>
            <w:tcW w:w="93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无</w:t>
            </w:r>
          </w:p>
        </w:tc>
      </w:tr>
    </w:tbl>
    <w:p>
      <w:pPr>
        <w:pStyle w:val="10"/>
        <w:rPr>
          <w:rFonts w:hint="eastAsia" w:ascii="Times New Roman" w:eastAsia="仿宋_GB2312" w:cs="宋体" w:hAnsiTheme="minorHAnsi"/>
          <w:b/>
          <w:color w:val="auto"/>
          <w:kern w:val="0"/>
          <w:sz w:val="32"/>
          <w:szCs w:val="32"/>
          <w:lang w:val="en-US" w:eastAsia="zh-CN" w:bidi="ar-SA"/>
        </w:rPr>
      </w:pPr>
    </w:p>
    <w:p>
      <w:pPr>
        <w:pStyle w:val="10"/>
        <w:rPr>
          <w:rFonts w:hint="eastAsia" w:ascii="Times New Roman" w:eastAsia="仿宋_GB2312" w:cs="宋体" w:hAnsiTheme="minorHAnsi"/>
          <w:b/>
          <w:color w:val="auto"/>
          <w:kern w:val="0"/>
          <w:sz w:val="32"/>
          <w:szCs w:val="32"/>
          <w:lang w:val="en-US" w:eastAsia="zh-CN" w:bidi="ar-SA"/>
        </w:rPr>
      </w:pPr>
      <w:r>
        <w:rPr>
          <w:rFonts w:hint="eastAsia" w:ascii="Times New Roman" w:eastAsia="仿宋_GB2312" w:cs="宋体" w:hAnsiTheme="minorHAnsi"/>
          <w:b/>
          <w:color w:val="auto"/>
          <w:kern w:val="0"/>
          <w:sz w:val="32"/>
          <w:szCs w:val="32"/>
          <w:lang w:val="en-US" w:eastAsia="zh-CN" w:bidi="ar-SA"/>
        </w:rPr>
        <w:t>提前下达2024年中央审计人员培训专项补助经费</w:t>
      </w:r>
    </w:p>
    <w:p>
      <w:pPr>
        <w:rPr>
          <w:rFonts w:hint="eastAsia"/>
          <w:lang w:val="en-US" w:eastAsia="zh-CN"/>
        </w:rPr>
      </w:pPr>
    </w:p>
    <w:tbl>
      <w:tblPr>
        <w:tblStyle w:val="16"/>
        <w:tblW w:w="1124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05"/>
        <w:gridCol w:w="1232"/>
        <w:gridCol w:w="1222"/>
        <w:gridCol w:w="1372"/>
        <w:gridCol w:w="1372"/>
        <w:gridCol w:w="1472"/>
        <w:gridCol w:w="1467"/>
        <w:gridCol w:w="20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11247" w:type="dxa"/>
            <w:gridSpan w:val="8"/>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0"/>
                <w:szCs w:val="40"/>
                <w:u w:val="none"/>
              </w:rPr>
            </w:pPr>
            <w:r>
              <w:rPr>
                <w:rFonts w:hint="eastAsia" w:ascii="方正小标宋简体" w:hAnsi="方正小标宋简体" w:eastAsia="方正小标宋简体" w:cs="方正小标宋简体"/>
                <w:i w:val="0"/>
                <w:color w:val="000000"/>
                <w:kern w:val="0"/>
                <w:sz w:val="40"/>
                <w:szCs w:val="40"/>
                <w:u w:val="none"/>
                <w:lang w:val="en-US" w:eastAsia="zh-CN" w:bidi="ar"/>
              </w:rPr>
              <w:t>市级部门预算项目绩效自评表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11247" w:type="dxa"/>
            <w:gridSpan w:val="8"/>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1105"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填报部门：</w:t>
            </w:r>
          </w:p>
        </w:tc>
        <w:tc>
          <w:tcPr>
            <w:tcW w:w="123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c>
          <w:tcPr>
            <w:tcW w:w="1222" w:type="dxa"/>
            <w:shd w:val="clear" w:color="auto" w:fill="auto"/>
            <w:vAlign w:val="center"/>
          </w:tcPr>
          <w:p>
            <w:pPr>
              <w:jc w:val="center"/>
              <w:rPr>
                <w:rFonts w:hint="eastAsia" w:ascii="宋体" w:hAnsi="宋体" w:eastAsia="宋体" w:cs="宋体"/>
                <w:i w:val="0"/>
                <w:color w:val="000000"/>
                <w:sz w:val="16"/>
                <w:szCs w:val="16"/>
                <w:u w:val="none"/>
              </w:rPr>
            </w:pPr>
          </w:p>
        </w:tc>
        <w:tc>
          <w:tcPr>
            <w:tcW w:w="1372" w:type="dxa"/>
            <w:shd w:val="clear" w:color="auto" w:fill="auto"/>
            <w:vAlign w:val="center"/>
          </w:tcPr>
          <w:p>
            <w:pPr>
              <w:jc w:val="center"/>
              <w:rPr>
                <w:rFonts w:hint="eastAsia" w:ascii="宋体" w:hAnsi="宋体" w:eastAsia="宋体" w:cs="宋体"/>
                <w:i w:val="0"/>
                <w:color w:val="000000"/>
                <w:sz w:val="16"/>
                <w:szCs w:val="16"/>
                <w:u w:val="none"/>
              </w:rPr>
            </w:pPr>
          </w:p>
        </w:tc>
        <w:tc>
          <w:tcPr>
            <w:tcW w:w="1372" w:type="dxa"/>
            <w:shd w:val="clear" w:color="auto" w:fill="auto"/>
            <w:vAlign w:val="center"/>
          </w:tcPr>
          <w:p>
            <w:pPr>
              <w:jc w:val="center"/>
              <w:rPr>
                <w:rFonts w:hint="eastAsia" w:ascii="宋体" w:hAnsi="宋体" w:eastAsia="宋体" w:cs="宋体"/>
                <w:i w:val="0"/>
                <w:color w:val="000000"/>
                <w:sz w:val="16"/>
                <w:szCs w:val="16"/>
                <w:u w:val="none"/>
              </w:rPr>
            </w:pPr>
          </w:p>
        </w:tc>
        <w:tc>
          <w:tcPr>
            <w:tcW w:w="1472" w:type="dxa"/>
            <w:shd w:val="clear" w:color="auto" w:fill="auto"/>
            <w:vAlign w:val="center"/>
          </w:tcPr>
          <w:p>
            <w:pPr>
              <w:jc w:val="center"/>
              <w:rPr>
                <w:rFonts w:hint="eastAsia" w:ascii="宋体" w:hAnsi="宋体" w:eastAsia="宋体" w:cs="宋体"/>
                <w:i w:val="0"/>
                <w:color w:val="000000"/>
                <w:sz w:val="16"/>
                <w:szCs w:val="16"/>
                <w:u w:val="none"/>
              </w:rPr>
            </w:pPr>
          </w:p>
        </w:tc>
        <w:tc>
          <w:tcPr>
            <w:tcW w:w="1467" w:type="dxa"/>
            <w:shd w:val="clear" w:color="auto" w:fill="auto"/>
            <w:vAlign w:val="center"/>
          </w:tcPr>
          <w:p>
            <w:pPr>
              <w:jc w:val="center"/>
              <w:rPr>
                <w:rFonts w:hint="eastAsia" w:ascii="宋体" w:hAnsi="宋体" w:eastAsia="宋体" w:cs="宋体"/>
                <w:i w:val="0"/>
                <w:color w:val="000000"/>
                <w:sz w:val="16"/>
                <w:szCs w:val="16"/>
                <w:u w:val="none"/>
              </w:rPr>
            </w:pPr>
          </w:p>
        </w:tc>
        <w:tc>
          <w:tcPr>
            <w:tcW w:w="20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金额部门：万元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10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w:t>
            </w:r>
            <w:r>
              <w:rPr>
                <w:rStyle w:val="31"/>
                <w:rFonts w:eastAsia="宋体"/>
                <w:lang w:val="en-US" w:eastAsia="zh-CN" w:bidi="ar"/>
              </w:rPr>
              <w:t xml:space="preserve"> </w:t>
            </w:r>
            <w:r>
              <w:rPr>
                <w:rFonts w:hint="eastAsia" w:ascii="宋体" w:hAnsi="宋体" w:eastAsia="宋体" w:cs="宋体"/>
                <w:i w:val="0"/>
                <w:color w:val="000000"/>
                <w:kern w:val="0"/>
                <w:sz w:val="16"/>
                <w:szCs w:val="16"/>
                <w:u w:val="none"/>
                <w:lang w:val="en-US" w:eastAsia="zh-CN" w:bidi="ar"/>
              </w:rPr>
              <w:t>基本情况</w:t>
            </w:r>
          </w:p>
        </w:tc>
        <w:tc>
          <w:tcPr>
            <w:tcW w:w="12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项目名称</w:t>
            </w: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提前下达2024年中央审计人员培训专项补助经费</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实施(主管）部门</w:t>
            </w:r>
          </w:p>
        </w:tc>
        <w:tc>
          <w:tcPr>
            <w:tcW w:w="494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rPr>
        <w:tc>
          <w:tcPr>
            <w:tcW w:w="11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二、预算执行情况</w:t>
            </w:r>
          </w:p>
        </w:tc>
        <w:tc>
          <w:tcPr>
            <w:tcW w:w="24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预算安排情况（调整后）</w:t>
            </w:r>
          </w:p>
        </w:tc>
        <w:tc>
          <w:tcPr>
            <w:tcW w:w="27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资金到位情况</w:t>
            </w:r>
          </w:p>
        </w:tc>
        <w:tc>
          <w:tcPr>
            <w:tcW w:w="29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资金执行情况</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1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预算数：</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到位数：</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执行数：</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w:t>
            </w:r>
          </w:p>
        </w:tc>
        <w:tc>
          <w:tcPr>
            <w:tcW w:w="2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1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w:t>
            </w:r>
          </w:p>
        </w:tc>
        <w:tc>
          <w:tcPr>
            <w:tcW w:w="2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1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eastAsia="宋体" w:cs="Calibri"/>
                <w:i w:val="0"/>
                <w:color w:val="000000"/>
                <w:sz w:val="21"/>
                <w:szCs w:val="21"/>
                <w:u w:val="none"/>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2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110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三、目标完成情况</w:t>
            </w:r>
          </w:p>
        </w:tc>
        <w:tc>
          <w:tcPr>
            <w:tcW w:w="382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年度预期目标</w:t>
            </w:r>
          </w:p>
        </w:tc>
        <w:tc>
          <w:tcPr>
            <w:tcW w:w="431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具体完成情况</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总体完成率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1105"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82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通过开展审计专业知识培训，提升审计队伍业务素质、增强责任意识、提高实际操作水平；通过计算机知识培训，增强审计人员运用大数据进行审计分析的能力，实现科技强审的目标。</w:t>
            </w:r>
          </w:p>
        </w:tc>
        <w:tc>
          <w:tcPr>
            <w:tcW w:w="431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开展审计质量提升、审计能力提升、全市内审交流培训等相关培训，提升审计人员综合素质，促进审计工作提质增效；开展了全市审计系统大数据培训班，提升了全市审计系统大数据审计分析能力，促进大数据审计人才队伍建设。</w:t>
            </w:r>
          </w:p>
        </w:tc>
        <w:tc>
          <w:tcPr>
            <w:tcW w:w="2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1105"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82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431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2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1105"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82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431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2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1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四、</w:t>
            </w:r>
            <w:r>
              <w:rPr>
                <w:rStyle w:val="31"/>
                <w:rFonts w:eastAsia="宋体"/>
                <w:lang w:val="en-US" w:eastAsia="zh-CN" w:bidi="ar"/>
              </w:rPr>
              <w:t xml:space="preserve"> </w:t>
            </w:r>
            <w:r>
              <w:rPr>
                <w:rFonts w:hint="eastAsia" w:ascii="宋体" w:hAnsi="宋体" w:eastAsia="宋体" w:cs="宋体"/>
                <w:i w:val="0"/>
                <w:color w:val="000000"/>
                <w:kern w:val="0"/>
                <w:sz w:val="16"/>
                <w:szCs w:val="16"/>
                <w:u w:val="none"/>
                <w:lang w:val="en-US" w:eastAsia="zh-CN" w:bidi="ar"/>
              </w:rPr>
              <w:t>年度绩效指标完成情况</w:t>
            </w:r>
          </w:p>
        </w:tc>
        <w:tc>
          <w:tcPr>
            <w:tcW w:w="1232" w:type="dxa"/>
            <w:tcBorders>
              <w:top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一级指标</w:t>
            </w:r>
          </w:p>
        </w:tc>
        <w:tc>
          <w:tcPr>
            <w:tcW w:w="122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二级指标</w:t>
            </w:r>
          </w:p>
        </w:tc>
        <w:tc>
          <w:tcPr>
            <w:tcW w:w="2744" w:type="dxa"/>
            <w:gridSpan w:val="2"/>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三级指标</w:t>
            </w:r>
          </w:p>
        </w:tc>
        <w:tc>
          <w:tcPr>
            <w:tcW w:w="147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预期指标值</w:t>
            </w:r>
          </w:p>
        </w:tc>
        <w:tc>
          <w:tcPr>
            <w:tcW w:w="1467"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实际完成值</w:t>
            </w:r>
          </w:p>
        </w:tc>
        <w:tc>
          <w:tcPr>
            <w:tcW w:w="200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1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32" w:type="dxa"/>
            <w:vMerge w:val="restart"/>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产出指标（40分）</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数量指标</w:t>
            </w:r>
          </w:p>
        </w:tc>
        <w:tc>
          <w:tcPr>
            <w:tcW w:w="27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培训期数</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≥2期</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6期</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1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32" w:type="dxa"/>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质量指标</w:t>
            </w:r>
          </w:p>
        </w:tc>
        <w:tc>
          <w:tcPr>
            <w:tcW w:w="27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受训人员合格率</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≥95%</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1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32" w:type="dxa"/>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时效指标</w:t>
            </w:r>
          </w:p>
        </w:tc>
        <w:tc>
          <w:tcPr>
            <w:tcW w:w="27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培训完成及时情况</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培训计划是否如期完成</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2024年12月31日前</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40" w:hRule="atLeast"/>
        </w:trPr>
        <w:tc>
          <w:tcPr>
            <w:tcW w:w="11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32" w:type="dxa"/>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成本指标</w:t>
            </w:r>
          </w:p>
        </w:tc>
        <w:tc>
          <w:tcPr>
            <w:tcW w:w="27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人均培训成本</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培训费文件规定标准值</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依据《石家庄市级机关培训费管理办法》，在规定标准内。</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5" w:hRule="atLeast"/>
        </w:trPr>
        <w:tc>
          <w:tcPr>
            <w:tcW w:w="11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3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w:t>
            </w:r>
          </w:p>
        </w:tc>
        <w:tc>
          <w:tcPr>
            <w:tcW w:w="27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“预算执行率”指标自评得分=预算执行进度*10。</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100.00%</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40" w:hRule="atLeast"/>
        </w:trPr>
        <w:tc>
          <w:tcPr>
            <w:tcW w:w="11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效益指标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（40分）</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社会效益指标</w:t>
            </w:r>
          </w:p>
        </w:tc>
        <w:tc>
          <w:tcPr>
            <w:tcW w:w="27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提升业务水平</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提升审计人员业务水平效果</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效果良好</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1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3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满意度指标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服务对象满意度指标</w:t>
            </w:r>
          </w:p>
        </w:tc>
        <w:tc>
          <w:tcPr>
            <w:tcW w:w="27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受训人员满意度</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≥95%</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1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8137" w:type="dxa"/>
            <w:gridSpan w:val="6"/>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总分</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1105" w:type="dxa"/>
            <w:tcBorders>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五、</w:t>
            </w:r>
            <w:r>
              <w:rPr>
                <w:rStyle w:val="31"/>
                <w:rFonts w:eastAsia="宋体"/>
                <w:lang w:val="en-US" w:eastAsia="zh-CN" w:bidi="ar"/>
              </w:rPr>
              <w:t xml:space="preserve"> </w:t>
            </w:r>
            <w:r>
              <w:rPr>
                <w:rFonts w:hint="eastAsia" w:ascii="宋体" w:hAnsi="宋体" w:eastAsia="宋体" w:cs="宋体"/>
                <w:i w:val="0"/>
                <w:color w:val="000000"/>
                <w:kern w:val="0"/>
                <w:sz w:val="16"/>
                <w:szCs w:val="16"/>
                <w:u w:val="none"/>
                <w:lang w:val="en-US" w:eastAsia="zh-CN" w:bidi="ar"/>
              </w:rPr>
              <w:t>存在问题、原因及下一步整改措施</w:t>
            </w:r>
          </w:p>
        </w:tc>
        <w:tc>
          <w:tcPr>
            <w:tcW w:w="1014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无</w:t>
            </w:r>
          </w:p>
        </w:tc>
      </w:tr>
    </w:tbl>
    <w:p>
      <w:pPr>
        <w:rPr>
          <w:rFonts w:hint="eastAsia"/>
          <w:lang w:val="en-US" w:eastAsia="zh-CN"/>
        </w:rPr>
      </w:pPr>
    </w:p>
    <w:p>
      <w:pPr>
        <w:rPr>
          <w:rFonts w:hint="eastAsia" w:ascii="Times New Roman" w:eastAsia="仿宋_GB2312" w:cs="宋体" w:hAnsiTheme="minorHAnsi"/>
          <w:b/>
          <w:color w:val="auto"/>
          <w:kern w:val="0"/>
          <w:sz w:val="32"/>
          <w:szCs w:val="32"/>
          <w:lang w:val="en-US" w:eastAsia="zh-CN" w:bidi="ar-SA"/>
        </w:rPr>
      </w:pPr>
      <w:r>
        <w:rPr>
          <w:rFonts w:hint="eastAsia" w:ascii="Times New Roman" w:eastAsia="仿宋_GB2312" w:cs="宋体" w:hAnsiTheme="minorHAnsi"/>
          <w:b/>
          <w:color w:val="auto"/>
          <w:kern w:val="0"/>
          <w:sz w:val="32"/>
          <w:szCs w:val="32"/>
          <w:lang w:val="en-US" w:eastAsia="zh-CN" w:bidi="ar-SA"/>
        </w:rPr>
        <w:t>提前下达2024年信息系统运行维护专项补助经费</w:t>
      </w:r>
    </w:p>
    <w:p>
      <w:pPr>
        <w:rPr>
          <w:rFonts w:hint="eastAsia" w:ascii="Times New Roman" w:eastAsia="仿宋_GB2312" w:cs="宋体" w:hAnsiTheme="minorHAnsi"/>
          <w:b/>
          <w:color w:val="auto"/>
          <w:kern w:val="0"/>
          <w:sz w:val="32"/>
          <w:szCs w:val="32"/>
          <w:lang w:val="en-US" w:eastAsia="zh-CN" w:bidi="ar-SA"/>
        </w:rPr>
      </w:pPr>
    </w:p>
    <w:tbl>
      <w:tblPr>
        <w:tblStyle w:val="16"/>
        <w:tblW w:w="997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15"/>
        <w:gridCol w:w="1154"/>
        <w:gridCol w:w="1131"/>
        <w:gridCol w:w="1231"/>
        <w:gridCol w:w="1231"/>
        <w:gridCol w:w="1394"/>
        <w:gridCol w:w="1359"/>
        <w:gridCol w:w="18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9971" w:type="dxa"/>
            <w:gridSpan w:val="8"/>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0"/>
                <w:szCs w:val="40"/>
                <w:u w:val="none"/>
              </w:rPr>
            </w:pPr>
            <w:r>
              <w:rPr>
                <w:rFonts w:hint="eastAsia" w:ascii="方正小标宋简体" w:hAnsi="方正小标宋简体" w:eastAsia="方正小标宋简体" w:cs="方正小标宋简体"/>
                <w:i w:val="0"/>
                <w:color w:val="000000"/>
                <w:kern w:val="0"/>
                <w:sz w:val="40"/>
                <w:szCs w:val="40"/>
                <w:u w:val="none"/>
                <w:lang w:val="en-US" w:eastAsia="zh-CN" w:bidi="ar"/>
              </w:rPr>
              <w:t>市级部门预算项目绩效自评表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9971" w:type="dxa"/>
            <w:gridSpan w:val="8"/>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615"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填报部门：</w:t>
            </w:r>
          </w:p>
        </w:tc>
        <w:tc>
          <w:tcPr>
            <w:tcW w:w="115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c>
          <w:tcPr>
            <w:tcW w:w="1131" w:type="dxa"/>
            <w:shd w:val="clear" w:color="auto" w:fill="auto"/>
            <w:vAlign w:val="center"/>
          </w:tcPr>
          <w:p>
            <w:pPr>
              <w:jc w:val="center"/>
              <w:rPr>
                <w:rFonts w:hint="eastAsia" w:ascii="宋体" w:hAnsi="宋体" w:eastAsia="宋体" w:cs="宋体"/>
                <w:i w:val="0"/>
                <w:color w:val="000000"/>
                <w:sz w:val="16"/>
                <w:szCs w:val="16"/>
                <w:u w:val="none"/>
              </w:rPr>
            </w:pPr>
          </w:p>
        </w:tc>
        <w:tc>
          <w:tcPr>
            <w:tcW w:w="1231" w:type="dxa"/>
            <w:shd w:val="clear" w:color="auto" w:fill="auto"/>
            <w:vAlign w:val="center"/>
          </w:tcPr>
          <w:p>
            <w:pPr>
              <w:jc w:val="center"/>
              <w:rPr>
                <w:rFonts w:hint="eastAsia" w:ascii="宋体" w:hAnsi="宋体" w:eastAsia="宋体" w:cs="宋体"/>
                <w:i w:val="0"/>
                <w:color w:val="000000"/>
                <w:sz w:val="16"/>
                <w:szCs w:val="16"/>
                <w:u w:val="none"/>
              </w:rPr>
            </w:pPr>
          </w:p>
        </w:tc>
        <w:tc>
          <w:tcPr>
            <w:tcW w:w="1231" w:type="dxa"/>
            <w:shd w:val="clear" w:color="auto" w:fill="auto"/>
            <w:vAlign w:val="center"/>
          </w:tcPr>
          <w:p>
            <w:pPr>
              <w:jc w:val="center"/>
              <w:rPr>
                <w:rFonts w:hint="eastAsia" w:ascii="宋体" w:hAnsi="宋体" w:eastAsia="宋体" w:cs="宋体"/>
                <w:i w:val="0"/>
                <w:color w:val="000000"/>
                <w:sz w:val="16"/>
                <w:szCs w:val="16"/>
                <w:u w:val="none"/>
              </w:rPr>
            </w:pPr>
          </w:p>
        </w:tc>
        <w:tc>
          <w:tcPr>
            <w:tcW w:w="1394" w:type="dxa"/>
            <w:shd w:val="clear" w:color="auto" w:fill="auto"/>
            <w:vAlign w:val="center"/>
          </w:tcPr>
          <w:p>
            <w:pPr>
              <w:jc w:val="center"/>
              <w:rPr>
                <w:rFonts w:hint="eastAsia" w:ascii="宋体" w:hAnsi="宋体" w:eastAsia="宋体" w:cs="宋体"/>
                <w:i w:val="0"/>
                <w:color w:val="000000"/>
                <w:sz w:val="16"/>
                <w:szCs w:val="16"/>
                <w:u w:val="none"/>
              </w:rPr>
            </w:pPr>
          </w:p>
        </w:tc>
        <w:tc>
          <w:tcPr>
            <w:tcW w:w="1359" w:type="dxa"/>
            <w:shd w:val="clear" w:color="auto" w:fill="auto"/>
            <w:vAlign w:val="center"/>
          </w:tcPr>
          <w:p>
            <w:pPr>
              <w:jc w:val="center"/>
              <w:rPr>
                <w:rFonts w:hint="eastAsia" w:ascii="宋体" w:hAnsi="宋体" w:eastAsia="宋体" w:cs="宋体"/>
                <w:i w:val="0"/>
                <w:color w:val="000000"/>
                <w:sz w:val="16"/>
                <w:szCs w:val="16"/>
                <w:u w:val="none"/>
              </w:rPr>
            </w:pPr>
          </w:p>
        </w:tc>
        <w:tc>
          <w:tcPr>
            <w:tcW w:w="185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金额部门：万元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61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w:t>
            </w:r>
            <w:r>
              <w:rPr>
                <w:rStyle w:val="32"/>
                <w:rFonts w:ascii="宋体" w:hAnsi="宋体" w:eastAsia="宋体" w:cs="宋体"/>
                <w:sz w:val="24"/>
                <w:szCs w:val="24"/>
                <w:lang w:val="en-US" w:eastAsia="zh-CN" w:bidi="ar"/>
              </w:rPr>
              <w:t xml:space="preserve"> </w:t>
            </w:r>
            <w:r>
              <w:rPr>
                <w:rFonts w:hint="eastAsia" w:ascii="宋体" w:hAnsi="宋体" w:eastAsia="宋体" w:cs="宋体"/>
                <w:i w:val="0"/>
                <w:color w:val="000000"/>
                <w:kern w:val="0"/>
                <w:sz w:val="16"/>
                <w:szCs w:val="16"/>
                <w:u w:val="none"/>
                <w:lang w:val="en-US" w:eastAsia="zh-CN" w:bidi="ar"/>
              </w:rPr>
              <w:t>基本情况</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项目名称</w:t>
            </w:r>
          </w:p>
        </w:tc>
        <w:tc>
          <w:tcPr>
            <w:tcW w:w="23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提前下达2024年信息系统运行维护专项补助经费</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实施(主管）部门</w:t>
            </w:r>
          </w:p>
        </w:tc>
        <w:tc>
          <w:tcPr>
            <w:tcW w:w="460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rPr>
        <w:tc>
          <w:tcPr>
            <w:tcW w:w="6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二、预算执行情况</w:t>
            </w:r>
          </w:p>
        </w:tc>
        <w:tc>
          <w:tcPr>
            <w:tcW w:w="22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预算安排情况（调整后）</w:t>
            </w:r>
          </w:p>
        </w:tc>
        <w:tc>
          <w:tcPr>
            <w:tcW w:w="2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资金到位情况</w:t>
            </w:r>
          </w:p>
        </w:tc>
        <w:tc>
          <w:tcPr>
            <w:tcW w:w="27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资金执行情况</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预算数：</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12</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到位数：</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12</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执行数：</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12</w:t>
            </w:r>
          </w:p>
        </w:tc>
        <w:tc>
          <w:tcPr>
            <w:tcW w:w="18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12</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12</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12</w:t>
            </w:r>
          </w:p>
        </w:tc>
        <w:tc>
          <w:tcPr>
            <w:tcW w:w="18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eastAsia="宋体" w:cs="Calibri"/>
                <w:i w:val="0"/>
                <w:color w:val="000000"/>
                <w:sz w:val="21"/>
                <w:szCs w:val="21"/>
                <w:u w:val="none"/>
              </w:rPr>
            </w:pP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8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61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三、目标完成情况</w:t>
            </w:r>
          </w:p>
        </w:tc>
        <w:tc>
          <w:tcPr>
            <w:tcW w:w="35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年度预期目标</w:t>
            </w:r>
          </w:p>
        </w:tc>
        <w:tc>
          <w:tcPr>
            <w:tcW w:w="39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具体完成情况</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总体完成率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15"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51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1.通过金审工程终端和应用系统等建设，加强金审工程三期应用推广。</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2.确保信息系统的正常运行，提高信息化环境下的大数据分析能力和审计监督能力。</w:t>
            </w:r>
          </w:p>
        </w:tc>
        <w:tc>
          <w:tcPr>
            <w:tcW w:w="398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通过金审工程三期应用推广，实现审计数据收集，整理，分析全覆盖。保障了金审三期信息化系统正常运行，建立了整合的，全方位的审计信息化体系，提高了信息化环境下的审计监督能力。</w:t>
            </w:r>
          </w:p>
        </w:tc>
        <w:tc>
          <w:tcPr>
            <w:tcW w:w="18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15"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51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398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18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15"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51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398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18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6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四、</w:t>
            </w:r>
            <w:r>
              <w:rPr>
                <w:rStyle w:val="32"/>
                <w:rFonts w:ascii="宋体" w:hAnsi="宋体" w:eastAsia="宋体" w:cs="宋体"/>
                <w:sz w:val="24"/>
                <w:szCs w:val="24"/>
                <w:lang w:val="en-US" w:eastAsia="zh-CN" w:bidi="ar"/>
              </w:rPr>
              <w:t xml:space="preserve"> </w:t>
            </w:r>
            <w:r>
              <w:rPr>
                <w:rFonts w:hint="eastAsia" w:ascii="宋体" w:hAnsi="宋体" w:eastAsia="宋体" w:cs="宋体"/>
                <w:i w:val="0"/>
                <w:color w:val="000000"/>
                <w:kern w:val="0"/>
                <w:sz w:val="16"/>
                <w:szCs w:val="16"/>
                <w:u w:val="none"/>
                <w:lang w:val="en-US" w:eastAsia="zh-CN" w:bidi="ar"/>
              </w:rPr>
              <w:t>年度绩效指标完成情况</w:t>
            </w:r>
          </w:p>
        </w:tc>
        <w:tc>
          <w:tcPr>
            <w:tcW w:w="1154" w:type="dxa"/>
            <w:tcBorders>
              <w:top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一级指标</w:t>
            </w:r>
          </w:p>
        </w:tc>
        <w:tc>
          <w:tcPr>
            <w:tcW w:w="1131"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二级指标</w:t>
            </w:r>
          </w:p>
        </w:tc>
        <w:tc>
          <w:tcPr>
            <w:tcW w:w="2462" w:type="dxa"/>
            <w:gridSpan w:val="2"/>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三级指标</w:t>
            </w:r>
          </w:p>
        </w:tc>
        <w:tc>
          <w:tcPr>
            <w:tcW w:w="139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预期指标值</w:t>
            </w:r>
          </w:p>
        </w:tc>
        <w:tc>
          <w:tcPr>
            <w:tcW w:w="135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实际完成值</w:t>
            </w:r>
          </w:p>
        </w:tc>
        <w:tc>
          <w:tcPr>
            <w:tcW w:w="1856"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54" w:type="dxa"/>
            <w:vMerge w:val="restart"/>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产出指标（40分）</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数量指标</w:t>
            </w:r>
          </w:p>
        </w:tc>
        <w:tc>
          <w:tcPr>
            <w:tcW w:w="2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资金执行率</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 85 %</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54" w:type="dxa"/>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质量指标</w:t>
            </w:r>
          </w:p>
        </w:tc>
        <w:tc>
          <w:tcPr>
            <w:tcW w:w="2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验收合格率</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54" w:type="dxa"/>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时效指标</w:t>
            </w:r>
          </w:p>
        </w:tc>
        <w:tc>
          <w:tcPr>
            <w:tcW w:w="2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服务响应时效</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≤48小时</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≤48小时</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40" w:hRule="atLeast"/>
        </w:trPr>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54" w:type="dxa"/>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成本指标</w:t>
            </w:r>
          </w:p>
        </w:tc>
        <w:tc>
          <w:tcPr>
            <w:tcW w:w="2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预算项目控制数数</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≤12万元</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12万元</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5" w:hRule="atLeast"/>
        </w:trPr>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5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w:t>
            </w:r>
          </w:p>
        </w:tc>
        <w:tc>
          <w:tcPr>
            <w:tcW w:w="2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“预算执行率”指标自评得分=预算执行进度*10。</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100.00%</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40" w:hRule="atLeast"/>
        </w:trPr>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效益指标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（40分）</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可持续影响指标</w:t>
            </w:r>
          </w:p>
        </w:tc>
        <w:tc>
          <w:tcPr>
            <w:tcW w:w="2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保障数据分析网络运行安全通畅</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效果良好</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效果良好</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5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满意度指标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服务对象满意度指标</w:t>
            </w:r>
          </w:p>
        </w:tc>
        <w:tc>
          <w:tcPr>
            <w:tcW w:w="2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服务对象满意度</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 95%</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rPr>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7500" w:type="dxa"/>
            <w:gridSpan w:val="6"/>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总分</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08" w:hRule="atLeast"/>
        </w:trPr>
        <w:tc>
          <w:tcPr>
            <w:tcW w:w="615" w:type="dxa"/>
            <w:tcBorders>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五、</w:t>
            </w:r>
            <w:r>
              <w:rPr>
                <w:rStyle w:val="32"/>
                <w:rFonts w:ascii="宋体" w:hAnsi="宋体" w:eastAsia="宋体" w:cs="宋体"/>
                <w:sz w:val="24"/>
                <w:szCs w:val="24"/>
                <w:lang w:val="en-US" w:eastAsia="zh-CN" w:bidi="ar"/>
              </w:rPr>
              <w:t xml:space="preserve"> </w:t>
            </w:r>
            <w:r>
              <w:rPr>
                <w:rFonts w:hint="eastAsia" w:ascii="宋体" w:hAnsi="宋体" w:eastAsia="宋体" w:cs="宋体"/>
                <w:i w:val="0"/>
                <w:color w:val="000000"/>
                <w:kern w:val="0"/>
                <w:sz w:val="16"/>
                <w:szCs w:val="16"/>
                <w:u w:val="none"/>
                <w:lang w:val="en-US" w:eastAsia="zh-CN" w:bidi="ar"/>
              </w:rPr>
              <w:t>存在问题、原因及下一步整改措施</w:t>
            </w:r>
          </w:p>
        </w:tc>
        <w:tc>
          <w:tcPr>
            <w:tcW w:w="935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无</w:t>
            </w:r>
          </w:p>
        </w:tc>
      </w:tr>
    </w:tbl>
    <w:p>
      <w:pPr>
        <w:rPr>
          <w:rFonts w:hint="eastAsia" w:ascii="Times New Roman" w:eastAsia="仿宋_GB2312" w:cs="宋体" w:hAnsiTheme="minorHAnsi"/>
          <w:b/>
          <w:color w:val="auto"/>
          <w:kern w:val="0"/>
          <w:sz w:val="32"/>
          <w:szCs w:val="32"/>
          <w:lang w:val="en-US" w:eastAsia="zh-CN" w:bidi="ar-SA"/>
        </w:rPr>
      </w:pPr>
    </w:p>
    <w:p>
      <w:pPr>
        <w:rPr>
          <w:rFonts w:hint="eastAsia" w:ascii="Times New Roman" w:eastAsia="仿宋_GB2312" w:cs="宋体" w:hAnsiTheme="minorHAnsi"/>
          <w:b/>
          <w:color w:val="auto"/>
          <w:kern w:val="0"/>
          <w:sz w:val="32"/>
          <w:szCs w:val="32"/>
          <w:lang w:val="en-US" w:eastAsia="zh-CN" w:bidi="ar-SA"/>
        </w:rPr>
      </w:pPr>
      <w:r>
        <w:rPr>
          <w:rFonts w:hint="eastAsia" w:ascii="Times New Roman" w:eastAsia="仿宋_GB2312" w:cs="宋体" w:hAnsiTheme="minorHAnsi"/>
          <w:b/>
          <w:color w:val="auto"/>
          <w:kern w:val="0"/>
          <w:sz w:val="32"/>
          <w:szCs w:val="32"/>
          <w:lang w:val="en-US" w:eastAsia="zh-CN" w:bidi="ar-SA"/>
        </w:rPr>
        <w:t>办公楼租赁及物业管理费</w:t>
      </w:r>
    </w:p>
    <w:p>
      <w:pPr>
        <w:rPr>
          <w:rFonts w:hint="eastAsia" w:ascii="Times New Roman" w:eastAsia="仿宋_GB2312" w:cs="宋体" w:hAnsiTheme="minorHAnsi"/>
          <w:b/>
          <w:color w:val="auto"/>
          <w:kern w:val="0"/>
          <w:sz w:val="32"/>
          <w:szCs w:val="32"/>
          <w:lang w:val="en-US" w:eastAsia="zh-CN" w:bidi="ar-SA"/>
        </w:rPr>
      </w:pPr>
    </w:p>
    <w:tbl>
      <w:tblPr>
        <w:tblStyle w:val="16"/>
        <w:tblW w:w="1048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41"/>
        <w:gridCol w:w="1051"/>
        <w:gridCol w:w="1286"/>
        <w:gridCol w:w="1536"/>
        <w:gridCol w:w="1536"/>
        <w:gridCol w:w="1155"/>
        <w:gridCol w:w="1523"/>
        <w:gridCol w:w="13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10481" w:type="dxa"/>
            <w:gridSpan w:val="8"/>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0"/>
                <w:szCs w:val="40"/>
                <w:u w:val="none"/>
              </w:rPr>
            </w:pPr>
            <w:r>
              <w:rPr>
                <w:rFonts w:hint="eastAsia" w:ascii="方正小标宋简体" w:hAnsi="方正小标宋简体" w:eastAsia="方正小标宋简体" w:cs="方正小标宋简体"/>
                <w:i w:val="0"/>
                <w:color w:val="000000"/>
                <w:kern w:val="0"/>
                <w:sz w:val="40"/>
                <w:szCs w:val="40"/>
                <w:u w:val="none"/>
                <w:lang w:val="en-US" w:eastAsia="zh-CN" w:bidi="ar"/>
              </w:rPr>
              <w:t>市级部门预算项目绩效自评表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0481" w:type="dxa"/>
            <w:gridSpan w:val="8"/>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04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填报部门：</w:t>
            </w:r>
          </w:p>
        </w:tc>
        <w:tc>
          <w:tcPr>
            <w:tcW w:w="2337" w:type="dxa"/>
            <w:gridSpan w:val="2"/>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石家庄市审计局</w:t>
            </w:r>
          </w:p>
        </w:tc>
        <w:tc>
          <w:tcPr>
            <w:tcW w:w="1536" w:type="dxa"/>
            <w:shd w:val="clear" w:color="auto" w:fill="auto"/>
            <w:vAlign w:val="center"/>
          </w:tcPr>
          <w:p>
            <w:pPr>
              <w:jc w:val="center"/>
              <w:rPr>
                <w:rFonts w:hint="eastAsia" w:ascii="宋体" w:hAnsi="宋体" w:eastAsia="宋体" w:cs="宋体"/>
                <w:i w:val="0"/>
                <w:color w:val="000000"/>
                <w:sz w:val="18"/>
                <w:szCs w:val="18"/>
                <w:u w:val="none"/>
              </w:rPr>
            </w:pPr>
          </w:p>
        </w:tc>
        <w:tc>
          <w:tcPr>
            <w:tcW w:w="1536" w:type="dxa"/>
            <w:shd w:val="clear" w:color="auto" w:fill="auto"/>
            <w:vAlign w:val="center"/>
          </w:tcPr>
          <w:p>
            <w:pPr>
              <w:jc w:val="center"/>
              <w:rPr>
                <w:rFonts w:hint="eastAsia" w:ascii="宋体" w:hAnsi="宋体" w:eastAsia="宋体" w:cs="宋体"/>
                <w:i w:val="0"/>
                <w:color w:val="000000"/>
                <w:sz w:val="18"/>
                <w:szCs w:val="18"/>
                <w:u w:val="none"/>
              </w:rPr>
            </w:pPr>
          </w:p>
        </w:tc>
        <w:tc>
          <w:tcPr>
            <w:tcW w:w="1155" w:type="dxa"/>
            <w:shd w:val="clear" w:color="auto" w:fill="auto"/>
            <w:vAlign w:val="center"/>
          </w:tcPr>
          <w:p>
            <w:pPr>
              <w:jc w:val="center"/>
              <w:rPr>
                <w:rFonts w:hint="eastAsia" w:ascii="宋体" w:hAnsi="宋体" w:eastAsia="宋体" w:cs="宋体"/>
                <w:i w:val="0"/>
                <w:color w:val="000000"/>
                <w:sz w:val="18"/>
                <w:szCs w:val="18"/>
                <w:u w:val="none"/>
              </w:rPr>
            </w:pPr>
          </w:p>
        </w:tc>
        <w:tc>
          <w:tcPr>
            <w:tcW w:w="1523" w:type="dxa"/>
            <w:shd w:val="clear" w:color="auto" w:fill="auto"/>
            <w:vAlign w:val="center"/>
          </w:tcPr>
          <w:p>
            <w:pPr>
              <w:jc w:val="center"/>
              <w:rPr>
                <w:rFonts w:hint="eastAsia" w:ascii="宋体" w:hAnsi="宋体" w:eastAsia="宋体" w:cs="宋体"/>
                <w:i w:val="0"/>
                <w:color w:val="000000"/>
                <w:sz w:val="18"/>
                <w:szCs w:val="18"/>
                <w:u w:val="none"/>
              </w:rPr>
            </w:pPr>
          </w:p>
        </w:tc>
        <w:tc>
          <w:tcPr>
            <w:tcW w:w="1353"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金额部门：万元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041" w:type="dxa"/>
            <w:tcBorders>
              <w:top w:val="single" w:color="000000" w:sz="4" w:space="0"/>
              <w:lef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 基本情况</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28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办公楼租赁及物业管理费</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实施(主管）部门</w:t>
            </w:r>
          </w:p>
        </w:tc>
        <w:tc>
          <w:tcPr>
            <w:tcW w:w="40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石家庄市审计局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41"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二、预算执行情况</w:t>
            </w:r>
          </w:p>
        </w:tc>
        <w:tc>
          <w:tcPr>
            <w:tcW w:w="23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预算安排情况（调整后）</w:t>
            </w:r>
          </w:p>
        </w:tc>
        <w:tc>
          <w:tcPr>
            <w:tcW w:w="3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资金到位情况</w:t>
            </w:r>
          </w:p>
        </w:tc>
        <w:tc>
          <w:tcPr>
            <w:tcW w:w="26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资金执行情况</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预算执行进度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5"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预算数：</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到位数：</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执行数：</w:t>
            </w:r>
          </w:p>
        </w:tc>
        <w:tc>
          <w:tcPr>
            <w:tcW w:w="1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72.75</w:t>
            </w:r>
          </w:p>
        </w:tc>
        <w:tc>
          <w:tcPr>
            <w:tcW w:w="13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其中：财政资金</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其中：财政资金</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其中：财政资金</w:t>
            </w:r>
          </w:p>
        </w:tc>
        <w:tc>
          <w:tcPr>
            <w:tcW w:w="1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72.75</w:t>
            </w:r>
          </w:p>
        </w:tc>
        <w:tc>
          <w:tcPr>
            <w:tcW w:w="13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5"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其他</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其他</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其他</w:t>
            </w:r>
          </w:p>
        </w:tc>
        <w:tc>
          <w:tcPr>
            <w:tcW w:w="15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c>
          <w:tcPr>
            <w:tcW w:w="13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041"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三、目标完成情况</w:t>
            </w:r>
          </w:p>
        </w:tc>
        <w:tc>
          <w:tcPr>
            <w:tcW w:w="38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年度预期目标</w:t>
            </w:r>
          </w:p>
        </w:tc>
        <w:tc>
          <w:tcPr>
            <w:tcW w:w="421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具体完成情况</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总体完成率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387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租赁西配楼部分办公用房，保障机关正常运行。</w:t>
            </w:r>
          </w:p>
        </w:tc>
        <w:tc>
          <w:tcPr>
            <w:tcW w:w="421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租赁西配楼办公用房，支付租赁费及物业管理费，保障办公安全，办公区域稳定，办公环境整洁。</w:t>
            </w:r>
          </w:p>
        </w:tc>
        <w:tc>
          <w:tcPr>
            <w:tcW w:w="13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387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42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13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041"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四、 年度绩效指标完成情况</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3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三级指标</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预期指标值</w:t>
            </w:r>
          </w:p>
        </w:tc>
        <w:tc>
          <w:tcPr>
            <w:tcW w:w="1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实际完成值</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0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产出指标（40）</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3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办公用房租赁面积</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1058.38平方米</w:t>
            </w:r>
          </w:p>
        </w:tc>
        <w:tc>
          <w:tcPr>
            <w:tcW w:w="1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1058.38平方米</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0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3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物业服务及时率</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90%</w:t>
            </w:r>
          </w:p>
        </w:tc>
        <w:tc>
          <w:tcPr>
            <w:tcW w:w="1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0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3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办公用房租赁完成时间</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2024年12月31日前</w:t>
            </w:r>
          </w:p>
        </w:tc>
        <w:tc>
          <w:tcPr>
            <w:tcW w:w="1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2024年12月31日前</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0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3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项目总成本</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≤75万元</w:t>
            </w:r>
          </w:p>
        </w:tc>
        <w:tc>
          <w:tcPr>
            <w:tcW w:w="1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72.75万元</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预算执行率指标</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（10分）</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预算执行率</w:t>
            </w:r>
          </w:p>
        </w:tc>
        <w:tc>
          <w:tcPr>
            <w:tcW w:w="3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“预算执行率”指标自评得分=预算执行进度*10。</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100.00%</w:t>
            </w:r>
          </w:p>
        </w:tc>
        <w:tc>
          <w:tcPr>
            <w:tcW w:w="1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97.00%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效益指标（40）</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3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租赁办公用房正常使用，保障机关运行</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良好保障</w:t>
            </w:r>
          </w:p>
        </w:tc>
        <w:tc>
          <w:tcPr>
            <w:tcW w:w="1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良好保障</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（10分）</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3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办公人员对租赁办公用房满意度</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90%</w:t>
            </w:r>
          </w:p>
        </w:tc>
        <w:tc>
          <w:tcPr>
            <w:tcW w:w="1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808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总分</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041"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五、 存在问题、原因及下一步整改措施</w:t>
            </w:r>
          </w:p>
        </w:tc>
        <w:tc>
          <w:tcPr>
            <w:tcW w:w="944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坚持“厉行节约、有效利用”的原则，严格遵照市级财政专项资金预算支出标准，进一步规范明确服务范围、费用构成等合同条款，提高资金效益。</w:t>
            </w:r>
          </w:p>
        </w:tc>
      </w:tr>
    </w:tbl>
    <w:p>
      <w:pPr>
        <w:rPr>
          <w:rFonts w:hint="eastAsia" w:ascii="Times New Roman" w:eastAsia="仿宋_GB2312" w:cs="宋体" w:hAnsiTheme="minorHAnsi"/>
          <w:b/>
          <w:color w:val="auto"/>
          <w:kern w:val="0"/>
          <w:sz w:val="32"/>
          <w:szCs w:val="32"/>
          <w:lang w:val="en-US" w:eastAsia="zh-CN" w:bidi="ar-SA"/>
        </w:rPr>
      </w:pPr>
    </w:p>
    <w:p>
      <w:pPr>
        <w:rPr>
          <w:rFonts w:hint="eastAsia" w:ascii="Times New Roman" w:eastAsia="仿宋_GB2312" w:cs="宋体" w:hAnsiTheme="minorHAnsi"/>
          <w:b/>
          <w:color w:val="auto"/>
          <w:kern w:val="0"/>
          <w:sz w:val="32"/>
          <w:szCs w:val="32"/>
          <w:lang w:val="en-US" w:eastAsia="zh-CN" w:bidi="ar-SA"/>
        </w:rPr>
      </w:pPr>
      <w:r>
        <w:rPr>
          <w:rFonts w:hint="eastAsia" w:ascii="Times New Roman" w:eastAsia="仿宋_GB2312" w:cs="宋体" w:hAnsiTheme="minorHAnsi"/>
          <w:b/>
          <w:color w:val="auto"/>
          <w:kern w:val="0"/>
          <w:sz w:val="32"/>
          <w:szCs w:val="32"/>
          <w:lang w:val="en-US" w:eastAsia="zh-CN" w:bidi="ar-SA"/>
        </w:rPr>
        <w:t>办公设备购置</w:t>
      </w:r>
    </w:p>
    <w:p>
      <w:pPr>
        <w:rPr>
          <w:rFonts w:hint="eastAsia" w:ascii="Times New Roman" w:eastAsia="仿宋_GB2312" w:cs="宋体" w:hAnsiTheme="minorHAnsi"/>
          <w:b/>
          <w:color w:val="auto"/>
          <w:kern w:val="0"/>
          <w:sz w:val="32"/>
          <w:szCs w:val="32"/>
          <w:lang w:val="en-US" w:eastAsia="zh-CN" w:bidi="ar-SA"/>
        </w:rPr>
      </w:pPr>
    </w:p>
    <w:tbl>
      <w:tblPr>
        <w:tblStyle w:val="16"/>
        <w:tblW w:w="1007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626"/>
        <w:gridCol w:w="1028"/>
        <w:gridCol w:w="1028"/>
        <w:gridCol w:w="1013"/>
        <w:gridCol w:w="1000"/>
        <w:gridCol w:w="1519"/>
        <w:gridCol w:w="1504"/>
        <w:gridCol w:w="13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15" w:hRule="atLeast"/>
        </w:trPr>
        <w:tc>
          <w:tcPr>
            <w:tcW w:w="10076" w:type="dxa"/>
            <w:gridSpan w:val="8"/>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40"/>
                <w:szCs w:val="40"/>
                <w:u w:val="none"/>
              </w:rPr>
            </w:pPr>
            <w:r>
              <w:rPr>
                <w:rFonts w:hint="eastAsia" w:ascii="宋体" w:hAnsi="宋体" w:eastAsia="宋体" w:cs="宋体"/>
                <w:i w:val="0"/>
                <w:color w:val="000000"/>
                <w:kern w:val="0"/>
                <w:sz w:val="40"/>
                <w:szCs w:val="40"/>
                <w:u w:val="none"/>
                <w:lang w:val="en-US" w:eastAsia="zh-CN" w:bidi="ar"/>
              </w:rPr>
              <w:t>市级部门预算项目绩效自评表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10076" w:type="dxa"/>
            <w:gridSpan w:val="8"/>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1626"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填报部门：</w:t>
            </w:r>
          </w:p>
        </w:tc>
        <w:tc>
          <w:tcPr>
            <w:tcW w:w="2056" w:type="dxa"/>
            <w:gridSpan w:val="2"/>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c>
          <w:tcPr>
            <w:tcW w:w="1013" w:type="dxa"/>
            <w:shd w:val="clear" w:color="auto" w:fill="auto"/>
            <w:vAlign w:val="center"/>
          </w:tcPr>
          <w:p>
            <w:pPr>
              <w:jc w:val="center"/>
              <w:rPr>
                <w:rFonts w:hint="eastAsia" w:ascii="宋体" w:hAnsi="宋体" w:eastAsia="宋体" w:cs="宋体"/>
                <w:i w:val="0"/>
                <w:color w:val="000000"/>
                <w:sz w:val="16"/>
                <w:szCs w:val="16"/>
                <w:u w:val="none"/>
              </w:rPr>
            </w:pPr>
          </w:p>
        </w:tc>
        <w:tc>
          <w:tcPr>
            <w:tcW w:w="1000" w:type="dxa"/>
            <w:shd w:val="clear" w:color="auto" w:fill="auto"/>
            <w:vAlign w:val="center"/>
          </w:tcPr>
          <w:p>
            <w:pPr>
              <w:jc w:val="center"/>
              <w:rPr>
                <w:rFonts w:hint="eastAsia" w:ascii="宋体" w:hAnsi="宋体" w:eastAsia="宋体" w:cs="宋体"/>
                <w:i w:val="0"/>
                <w:color w:val="000000"/>
                <w:sz w:val="16"/>
                <w:szCs w:val="16"/>
                <w:u w:val="none"/>
              </w:rPr>
            </w:pPr>
          </w:p>
        </w:tc>
        <w:tc>
          <w:tcPr>
            <w:tcW w:w="1519" w:type="dxa"/>
            <w:shd w:val="clear" w:color="auto" w:fill="auto"/>
            <w:vAlign w:val="center"/>
          </w:tcPr>
          <w:p>
            <w:pPr>
              <w:jc w:val="center"/>
              <w:rPr>
                <w:rFonts w:hint="eastAsia" w:ascii="宋体" w:hAnsi="宋体" w:eastAsia="宋体" w:cs="宋体"/>
                <w:i w:val="0"/>
                <w:color w:val="000000"/>
                <w:sz w:val="16"/>
                <w:szCs w:val="16"/>
                <w:u w:val="none"/>
              </w:rPr>
            </w:pPr>
          </w:p>
        </w:tc>
        <w:tc>
          <w:tcPr>
            <w:tcW w:w="1504" w:type="dxa"/>
            <w:shd w:val="clear" w:color="auto" w:fill="auto"/>
            <w:vAlign w:val="center"/>
          </w:tcPr>
          <w:p>
            <w:pPr>
              <w:jc w:val="center"/>
              <w:rPr>
                <w:rFonts w:hint="eastAsia" w:ascii="宋体" w:hAnsi="宋体" w:eastAsia="宋体" w:cs="宋体"/>
                <w:i w:val="0"/>
                <w:color w:val="000000"/>
                <w:sz w:val="16"/>
                <w:szCs w:val="16"/>
                <w:u w:val="none"/>
              </w:rPr>
            </w:pPr>
          </w:p>
        </w:tc>
        <w:tc>
          <w:tcPr>
            <w:tcW w:w="135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金额部门：万元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w:t>
            </w:r>
            <w:r>
              <w:rPr>
                <w:rFonts w:ascii="Calibri" w:hAnsi="Calibri" w:eastAsia="宋体" w:cs="Calibri"/>
                <w:i w:val="0"/>
                <w:color w:val="000000"/>
                <w:kern w:val="0"/>
                <w:sz w:val="16"/>
                <w:szCs w:val="16"/>
                <w:u w:val="none"/>
                <w:lang w:val="en-US" w:eastAsia="zh-CN" w:bidi="ar"/>
              </w:rPr>
              <w:t xml:space="preserve"> </w:t>
            </w:r>
            <w:r>
              <w:rPr>
                <w:rFonts w:hint="eastAsia" w:ascii="宋体" w:hAnsi="宋体" w:eastAsia="宋体" w:cs="宋体"/>
                <w:i w:val="0"/>
                <w:color w:val="000000"/>
                <w:kern w:val="0"/>
                <w:sz w:val="16"/>
                <w:szCs w:val="16"/>
                <w:u w:val="none"/>
                <w:lang w:val="en-US" w:eastAsia="zh-CN" w:bidi="ar"/>
              </w:rPr>
              <w:t>基本情况</w:t>
            </w: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项目名称</w:t>
            </w:r>
          </w:p>
        </w:tc>
        <w:tc>
          <w:tcPr>
            <w:tcW w:w="20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办公设备购置</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实施(主管）部门</w:t>
            </w:r>
          </w:p>
        </w:tc>
        <w:tc>
          <w:tcPr>
            <w:tcW w:w="438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二、预算执行情况</w:t>
            </w:r>
          </w:p>
        </w:tc>
        <w:tc>
          <w:tcPr>
            <w:tcW w:w="20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预算安排情况（调整后）</w:t>
            </w: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资金到位情况</w:t>
            </w:r>
          </w:p>
        </w:tc>
        <w:tc>
          <w:tcPr>
            <w:tcW w:w="30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资金执行情况</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预算数：</w:t>
            </w: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179.27</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到位数：</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179.27</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执行数：</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176.77</w:t>
            </w:r>
          </w:p>
        </w:tc>
        <w:tc>
          <w:tcPr>
            <w:tcW w:w="13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98.61%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179.27</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179.27</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176.77</w:t>
            </w:r>
          </w:p>
        </w:tc>
        <w:tc>
          <w:tcPr>
            <w:tcW w:w="13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eastAsia="宋体" w:cs="Calibri"/>
                <w:i w:val="0"/>
                <w:color w:val="000000"/>
                <w:sz w:val="21"/>
                <w:szCs w:val="21"/>
                <w:u w:val="none"/>
              </w:rPr>
            </w:pP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3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三、目标完成情况</w:t>
            </w:r>
          </w:p>
        </w:tc>
        <w:tc>
          <w:tcPr>
            <w:tcW w:w="306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年度预期目标</w:t>
            </w:r>
          </w:p>
        </w:tc>
        <w:tc>
          <w:tcPr>
            <w:tcW w:w="40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具体完成情况</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总体完成率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0"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06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通过购置办公设备，满足设备更新、新增人员办公、办公环境升级需要，保障工作正常开展，提高履职效率。</w:t>
            </w:r>
          </w:p>
        </w:tc>
        <w:tc>
          <w:tcPr>
            <w:tcW w:w="402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购置笔记本、服务器、打印机等设备，购置文件柜、办公桌椅等办公家具，及时更新、更换办公设备，改善办公环境，提高工作效率，提升部门管理水平。</w:t>
            </w:r>
          </w:p>
        </w:tc>
        <w:tc>
          <w:tcPr>
            <w:tcW w:w="13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06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402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13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95"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06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402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13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四、 年度绩效指标完成情况</w:t>
            </w: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一级指标</w:t>
            </w: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二级指标</w:t>
            </w: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三级指标</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预期指标值</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实际完成值</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产出指标（40）</w:t>
            </w: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数量指标</w:t>
            </w: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采购笔记本数量</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≥20台</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50台</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质量指标</w:t>
            </w: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采购物品验收合格率</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时效指标</w:t>
            </w: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采购完成时间</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2024年12月31日前</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成本指标</w:t>
            </w: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采购总成本</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 xml:space="preserve">≤189.27万元 </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176.77万元</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w:t>
            </w: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“预算执行率”指标自评得分=预算执行进度*10。</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100.00%</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98.61%</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效益指标（40）</w:t>
            </w: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社会效益指标</w:t>
            </w: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提高履职基础</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良好保障</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良好保障</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满意度指标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满意度指标</w:t>
            </w: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工作人员满意度</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≥90%</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709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总分</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五、 存在问题、原因及下一步整改措施</w:t>
            </w:r>
          </w:p>
        </w:tc>
        <w:tc>
          <w:tcPr>
            <w:tcW w:w="84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加强项目相关部门的联合沟通，继续加大对需求-预算-采购-验收环节的动态监管，保证资金的使用效益，改善办公环境，提高工作效率。</w:t>
            </w:r>
          </w:p>
        </w:tc>
      </w:tr>
    </w:tbl>
    <w:p>
      <w:pPr>
        <w:rPr>
          <w:rFonts w:hint="eastAsia" w:ascii="Times New Roman" w:eastAsia="仿宋_GB2312" w:cs="宋体" w:hAnsiTheme="minorHAnsi"/>
          <w:b/>
          <w:color w:val="auto"/>
          <w:kern w:val="0"/>
          <w:sz w:val="32"/>
          <w:szCs w:val="32"/>
          <w:lang w:val="en-US" w:eastAsia="zh-CN" w:bidi="ar-SA"/>
        </w:rPr>
      </w:pPr>
    </w:p>
    <w:p>
      <w:pPr>
        <w:rPr>
          <w:rFonts w:hint="eastAsia" w:ascii="Times New Roman" w:eastAsia="仿宋_GB2312" w:cs="宋体" w:hAnsiTheme="minorHAnsi"/>
          <w:b/>
          <w:color w:val="auto"/>
          <w:kern w:val="0"/>
          <w:sz w:val="32"/>
          <w:szCs w:val="32"/>
          <w:lang w:val="en-US" w:eastAsia="zh-CN" w:bidi="ar-SA"/>
        </w:rPr>
      </w:pPr>
      <w:r>
        <w:rPr>
          <w:rFonts w:hint="eastAsia" w:ascii="Times New Roman" w:eastAsia="仿宋_GB2312" w:cs="宋体" w:hAnsiTheme="minorHAnsi"/>
          <w:b/>
          <w:color w:val="auto"/>
          <w:kern w:val="0"/>
          <w:sz w:val="32"/>
          <w:szCs w:val="32"/>
          <w:lang w:val="en-US" w:eastAsia="zh-CN" w:bidi="ar-SA"/>
        </w:rPr>
        <w:t>党组织活动经费</w:t>
      </w:r>
    </w:p>
    <w:p>
      <w:pPr>
        <w:rPr>
          <w:rFonts w:hint="eastAsia" w:ascii="Times New Roman" w:eastAsia="仿宋_GB2312" w:cs="宋体" w:hAnsiTheme="minorHAnsi"/>
          <w:b/>
          <w:color w:val="auto"/>
          <w:kern w:val="0"/>
          <w:sz w:val="32"/>
          <w:szCs w:val="32"/>
          <w:lang w:val="en-US" w:eastAsia="zh-CN" w:bidi="ar-SA"/>
        </w:rPr>
      </w:pPr>
    </w:p>
    <w:tbl>
      <w:tblPr>
        <w:tblStyle w:val="16"/>
        <w:tblW w:w="970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86"/>
        <w:gridCol w:w="1326"/>
        <w:gridCol w:w="1303"/>
        <w:gridCol w:w="1303"/>
        <w:gridCol w:w="932"/>
        <w:gridCol w:w="931"/>
        <w:gridCol w:w="1530"/>
        <w:gridCol w:w="12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9702" w:type="dxa"/>
            <w:gridSpan w:val="8"/>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0"/>
                <w:szCs w:val="40"/>
                <w:u w:val="none"/>
              </w:rPr>
            </w:pPr>
            <w:r>
              <w:rPr>
                <w:rFonts w:hint="eastAsia" w:ascii="方正小标宋简体" w:hAnsi="方正小标宋简体" w:eastAsia="方正小标宋简体" w:cs="方正小标宋简体"/>
                <w:i w:val="0"/>
                <w:color w:val="000000"/>
                <w:kern w:val="0"/>
                <w:sz w:val="40"/>
                <w:szCs w:val="40"/>
                <w:u w:val="none"/>
                <w:lang w:val="en-US" w:eastAsia="zh-CN" w:bidi="ar"/>
              </w:rPr>
              <w:t>市级部门预算项目绩效自评表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9702" w:type="dxa"/>
            <w:gridSpan w:val="8"/>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1086"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填报部门：</w:t>
            </w:r>
          </w:p>
        </w:tc>
        <w:tc>
          <w:tcPr>
            <w:tcW w:w="2629" w:type="dxa"/>
            <w:gridSpan w:val="2"/>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c>
          <w:tcPr>
            <w:tcW w:w="1303" w:type="dxa"/>
            <w:shd w:val="clear" w:color="auto" w:fill="auto"/>
            <w:vAlign w:val="center"/>
          </w:tcPr>
          <w:p>
            <w:pPr>
              <w:jc w:val="center"/>
              <w:rPr>
                <w:rFonts w:hint="eastAsia" w:ascii="宋体" w:hAnsi="宋体" w:eastAsia="宋体" w:cs="宋体"/>
                <w:i w:val="0"/>
                <w:color w:val="000000"/>
                <w:sz w:val="16"/>
                <w:szCs w:val="16"/>
                <w:u w:val="none"/>
              </w:rPr>
            </w:pPr>
          </w:p>
        </w:tc>
        <w:tc>
          <w:tcPr>
            <w:tcW w:w="932" w:type="dxa"/>
            <w:shd w:val="clear" w:color="auto" w:fill="auto"/>
            <w:vAlign w:val="center"/>
          </w:tcPr>
          <w:p>
            <w:pPr>
              <w:jc w:val="center"/>
              <w:rPr>
                <w:rFonts w:hint="eastAsia" w:ascii="宋体" w:hAnsi="宋体" w:eastAsia="宋体" w:cs="宋体"/>
                <w:i w:val="0"/>
                <w:color w:val="000000"/>
                <w:sz w:val="16"/>
                <w:szCs w:val="16"/>
                <w:u w:val="none"/>
              </w:rPr>
            </w:pPr>
          </w:p>
        </w:tc>
        <w:tc>
          <w:tcPr>
            <w:tcW w:w="931" w:type="dxa"/>
            <w:shd w:val="clear" w:color="auto" w:fill="auto"/>
            <w:vAlign w:val="center"/>
          </w:tcPr>
          <w:p>
            <w:pPr>
              <w:jc w:val="center"/>
              <w:rPr>
                <w:rFonts w:hint="eastAsia" w:ascii="宋体" w:hAnsi="宋体" w:eastAsia="宋体" w:cs="宋体"/>
                <w:i w:val="0"/>
                <w:color w:val="000000"/>
                <w:sz w:val="16"/>
                <w:szCs w:val="16"/>
                <w:u w:val="none"/>
              </w:rPr>
            </w:pPr>
          </w:p>
        </w:tc>
        <w:tc>
          <w:tcPr>
            <w:tcW w:w="1530" w:type="dxa"/>
            <w:shd w:val="clear" w:color="auto" w:fill="auto"/>
            <w:vAlign w:val="center"/>
          </w:tcPr>
          <w:p>
            <w:pPr>
              <w:jc w:val="center"/>
              <w:rPr>
                <w:rFonts w:hint="eastAsia" w:ascii="宋体" w:hAnsi="宋体" w:eastAsia="宋体" w:cs="宋体"/>
                <w:i w:val="0"/>
                <w:color w:val="000000"/>
                <w:sz w:val="16"/>
                <w:szCs w:val="16"/>
                <w:u w:val="none"/>
              </w:rPr>
            </w:pPr>
          </w:p>
        </w:tc>
        <w:tc>
          <w:tcPr>
            <w:tcW w:w="129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金额部门：万元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86"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w:t>
            </w:r>
            <w:r>
              <w:rPr>
                <w:rFonts w:ascii="Calibri" w:hAnsi="Calibri" w:eastAsia="宋体" w:cs="Calibri"/>
                <w:i w:val="0"/>
                <w:color w:val="000000"/>
                <w:kern w:val="0"/>
                <w:sz w:val="16"/>
                <w:szCs w:val="16"/>
                <w:u w:val="none"/>
                <w:lang w:val="en-US" w:eastAsia="zh-CN" w:bidi="ar"/>
              </w:rPr>
              <w:t xml:space="preserve"> </w:t>
            </w:r>
            <w:r>
              <w:rPr>
                <w:rFonts w:hint="eastAsia" w:ascii="宋体" w:hAnsi="宋体" w:eastAsia="宋体" w:cs="宋体"/>
                <w:i w:val="0"/>
                <w:color w:val="000000"/>
                <w:kern w:val="0"/>
                <w:sz w:val="16"/>
                <w:szCs w:val="16"/>
                <w:u w:val="none"/>
                <w:lang w:val="en-US" w:eastAsia="zh-CN" w:bidi="ar"/>
              </w:rPr>
              <w:t>基本情况</w:t>
            </w: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项目名称</w:t>
            </w:r>
          </w:p>
        </w:tc>
        <w:tc>
          <w:tcPr>
            <w:tcW w:w="2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党组织活动经费</w:t>
            </w:r>
          </w:p>
        </w:tc>
        <w:tc>
          <w:tcPr>
            <w:tcW w:w="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实施(主管）部门</w:t>
            </w:r>
          </w:p>
        </w:tc>
        <w:tc>
          <w:tcPr>
            <w:tcW w:w="375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0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二、预算执行情况</w:t>
            </w:r>
          </w:p>
        </w:tc>
        <w:tc>
          <w:tcPr>
            <w:tcW w:w="26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预算安排情况（调整后）</w:t>
            </w:r>
          </w:p>
        </w:tc>
        <w:tc>
          <w:tcPr>
            <w:tcW w:w="2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资金到位情况</w:t>
            </w:r>
          </w:p>
        </w:tc>
        <w:tc>
          <w:tcPr>
            <w:tcW w:w="24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资金执行情况</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0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预算数：</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13.5</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到位数：</w:t>
            </w:r>
          </w:p>
        </w:tc>
        <w:tc>
          <w:tcPr>
            <w:tcW w:w="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13.5</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执行数：</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13.5</w:t>
            </w:r>
          </w:p>
        </w:tc>
        <w:tc>
          <w:tcPr>
            <w:tcW w:w="12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0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13.5</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13.5</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13.5</w:t>
            </w:r>
          </w:p>
        </w:tc>
        <w:tc>
          <w:tcPr>
            <w:tcW w:w="12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0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eastAsia="宋体" w:cs="Calibri"/>
                <w:i w:val="0"/>
                <w:color w:val="000000"/>
                <w:sz w:val="21"/>
                <w:szCs w:val="21"/>
                <w:u w:val="none"/>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93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2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0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三、目标完成情况</w:t>
            </w:r>
          </w:p>
        </w:tc>
        <w:tc>
          <w:tcPr>
            <w:tcW w:w="39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年度预期目标</w:t>
            </w:r>
          </w:p>
        </w:tc>
        <w:tc>
          <w:tcPr>
            <w:tcW w:w="339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具体完成情况</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总体完成率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0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93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通过组织党员开展各项活动，使基层党组织建设水平全面提高；通过组织党员干部参观、学习、培训，完成省、市委相关党建工作要求，使制度建设更加规范，作风建设进一步改进，廉政建设成效更加显著。</w:t>
            </w:r>
          </w:p>
        </w:tc>
        <w:tc>
          <w:tcPr>
            <w:tcW w:w="339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部门党建水平明显提高，党员党性修养得到提升，廉政建设成效显著。</w:t>
            </w:r>
          </w:p>
        </w:tc>
        <w:tc>
          <w:tcPr>
            <w:tcW w:w="12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0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93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339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0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93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339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086"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四、 年度绩效指标完成情况</w:t>
            </w: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一级指标</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二级指标</w:t>
            </w:r>
          </w:p>
        </w:tc>
        <w:tc>
          <w:tcPr>
            <w:tcW w:w="2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三级指标</w:t>
            </w:r>
          </w:p>
        </w:tc>
        <w:tc>
          <w:tcPr>
            <w:tcW w:w="931"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预期指标值</w:t>
            </w:r>
          </w:p>
        </w:tc>
        <w:tc>
          <w:tcPr>
            <w:tcW w:w="153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实际完成值</w:t>
            </w:r>
          </w:p>
        </w:tc>
        <w:tc>
          <w:tcPr>
            <w:tcW w:w="1291"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产出指标（40）</w:t>
            </w:r>
          </w:p>
        </w:tc>
        <w:tc>
          <w:tcPr>
            <w:tcW w:w="1303"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数量指标</w:t>
            </w:r>
          </w:p>
        </w:tc>
        <w:tc>
          <w:tcPr>
            <w:tcW w:w="2235" w:type="dxa"/>
            <w:gridSpan w:val="2"/>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组织培训次数</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≥1次</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1次</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质量指标</w:t>
            </w:r>
          </w:p>
        </w:tc>
        <w:tc>
          <w:tcPr>
            <w:tcW w:w="2235" w:type="dxa"/>
            <w:gridSpan w:val="2"/>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培训费出勤率</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时效指标</w:t>
            </w:r>
          </w:p>
        </w:tc>
        <w:tc>
          <w:tcPr>
            <w:tcW w:w="2235" w:type="dxa"/>
            <w:gridSpan w:val="2"/>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开展培训、组织党员活动完成时间</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2024年12月31日前</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成本指标</w:t>
            </w:r>
          </w:p>
        </w:tc>
        <w:tc>
          <w:tcPr>
            <w:tcW w:w="2235" w:type="dxa"/>
            <w:gridSpan w:val="2"/>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项目总成本</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≤13.5万元</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13.5万元</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30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w:t>
            </w:r>
          </w:p>
        </w:tc>
        <w:tc>
          <w:tcPr>
            <w:tcW w:w="2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全年整体支出进度达到95%及以上的，不扣分；当“预算执行进度＜95%”时，“预算执行率”指标自评得分=预算执行进度*10。</w:t>
            </w:r>
          </w:p>
        </w:tc>
        <w:tc>
          <w:tcPr>
            <w:tcW w:w="931"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530" w:type="dxa"/>
            <w:tcBorders>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100.00%</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26"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效益指标（40）</w:t>
            </w:r>
          </w:p>
        </w:tc>
        <w:tc>
          <w:tcPr>
            <w:tcW w:w="130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社会效益指标</w:t>
            </w:r>
          </w:p>
        </w:tc>
        <w:tc>
          <w:tcPr>
            <w:tcW w:w="2235" w:type="dxa"/>
            <w:gridSpan w:val="2"/>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培养忠诚、干净、担当的党员领导干部</w:t>
            </w:r>
          </w:p>
        </w:tc>
        <w:tc>
          <w:tcPr>
            <w:tcW w:w="931"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效果良好</w:t>
            </w:r>
          </w:p>
        </w:tc>
        <w:tc>
          <w:tcPr>
            <w:tcW w:w="153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效果良好</w:t>
            </w:r>
          </w:p>
        </w:tc>
        <w:tc>
          <w:tcPr>
            <w:tcW w:w="1291"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满意度指标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303" w:type="dxa"/>
            <w:tcBorders>
              <w:top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满意度指标</w:t>
            </w:r>
          </w:p>
        </w:tc>
        <w:tc>
          <w:tcPr>
            <w:tcW w:w="2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服务对象满意度</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732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总分</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 xml:space="preserve">98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08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五、 存在问题、原因及下一步整改措施</w:t>
            </w:r>
          </w:p>
        </w:tc>
        <w:tc>
          <w:tcPr>
            <w:tcW w:w="861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进一步加强党员党性修养教育，加大训班力度，不断提升党员政治觉悟和政治能力，继续规范党建活动经费管理，严格遵守中央八项规定精神，确保经费的使用符合党的事业的发展需要。</w:t>
            </w:r>
          </w:p>
        </w:tc>
      </w:tr>
    </w:tbl>
    <w:p>
      <w:pPr>
        <w:rPr>
          <w:rFonts w:hint="eastAsia" w:ascii="Times New Roman" w:eastAsia="仿宋_GB2312" w:cs="宋体" w:hAnsiTheme="minorHAnsi"/>
          <w:b/>
          <w:color w:val="auto"/>
          <w:kern w:val="0"/>
          <w:sz w:val="32"/>
          <w:szCs w:val="32"/>
          <w:lang w:val="en-US" w:eastAsia="zh-CN" w:bidi="ar-SA"/>
        </w:rPr>
      </w:pPr>
    </w:p>
    <w:p>
      <w:pPr>
        <w:rPr>
          <w:rFonts w:hint="eastAsia" w:ascii="Times New Roman" w:eastAsia="仿宋_GB2312" w:cs="宋体" w:hAnsiTheme="minorHAnsi"/>
          <w:b/>
          <w:color w:val="auto"/>
          <w:kern w:val="0"/>
          <w:sz w:val="32"/>
          <w:szCs w:val="32"/>
          <w:lang w:val="en-US" w:eastAsia="zh-CN" w:bidi="ar-SA"/>
        </w:rPr>
      </w:pPr>
    </w:p>
    <w:p>
      <w:pPr>
        <w:rPr>
          <w:rFonts w:hint="eastAsia" w:ascii="Times New Roman" w:eastAsia="仿宋_GB2312" w:cs="宋体" w:hAnsiTheme="minorHAnsi"/>
          <w:b/>
          <w:color w:val="auto"/>
          <w:kern w:val="0"/>
          <w:sz w:val="32"/>
          <w:szCs w:val="32"/>
          <w:lang w:val="en-US" w:eastAsia="zh-CN" w:bidi="ar-SA"/>
        </w:rPr>
      </w:pPr>
      <w:r>
        <w:rPr>
          <w:rFonts w:hint="eastAsia" w:ascii="Times New Roman" w:eastAsia="仿宋_GB2312" w:cs="宋体" w:hAnsiTheme="minorHAnsi"/>
          <w:b/>
          <w:color w:val="auto"/>
          <w:kern w:val="0"/>
          <w:sz w:val="32"/>
          <w:szCs w:val="32"/>
          <w:lang w:val="en-US" w:eastAsia="zh-CN" w:bidi="ar-SA"/>
        </w:rPr>
        <w:t>法律咨询服务费</w:t>
      </w:r>
    </w:p>
    <w:tbl>
      <w:tblPr>
        <w:tblStyle w:val="16"/>
        <w:tblW w:w="884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96"/>
        <w:gridCol w:w="1200"/>
        <w:gridCol w:w="1163"/>
        <w:gridCol w:w="1182"/>
        <w:gridCol w:w="996"/>
        <w:gridCol w:w="1005"/>
        <w:gridCol w:w="1209"/>
        <w:gridCol w:w="10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8845" w:type="dxa"/>
            <w:gridSpan w:val="8"/>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0"/>
                <w:szCs w:val="40"/>
                <w:u w:val="none"/>
              </w:rPr>
            </w:pPr>
            <w:r>
              <w:rPr>
                <w:rFonts w:hint="eastAsia" w:ascii="方正小标宋简体" w:hAnsi="方正小标宋简体" w:eastAsia="方正小标宋简体" w:cs="方正小标宋简体"/>
                <w:i w:val="0"/>
                <w:color w:val="000000"/>
                <w:kern w:val="0"/>
                <w:sz w:val="40"/>
                <w:szCs w:val="40"/>
                <w:u w:val="none"/>
                <w:lang w:val="en-US" w:eastAsia="zh-CN" w:bidi="ar"/>
              </w:rPr>
              <w:t>市级部门预算项目绩效自评表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8845" w:type="dxa"/>
            <w:gridSpan w:val="8"/>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996"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填报部门：</w:t>
            </w:r>
          </w:p>
        </w:tc>
        <w:tc>
          <w:tcPr>
            <w:tcW w:w="2363" w:type="dxa"/>
            <w:gridSpan w:val="2"/>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c>
          <w:tcPr>
            <w:tcW w:w="1182" w:type="dxa"/>
            <w:shd w:val="clear" w:color="auto" w:fill="auto"/>
            <w:vAlign w:val="center"/>
          </w:tcPr>
          <w:p>
            <w:pPr>
              <w:jc w:val="center"/>
              <w:rPr>
                <w:rFonts w:hint="eastAsia" w:ascii="宋体" w:hAnsi="宋体" w:eastAsia="宋体" w:cs="宋体"/>
                <w:i w:val="0"/>
                <w:color w:val="000000"/>
                <w:sz w:val="16"/>
                <w:szCs w:val="16"/>
                <w:u w:val="none"/>
              </w:rPr>
            </w:pPr>
          </w:p>
        </w:tc>
        <w:tc>
          <w:tcPr>
            <w:tcW w:w="996" w:type="dxa"/>
            <w:shd w:val="clear" w:color="auto" w:fill="auto"/>
            <w:vAlign w:val="center"/>
          </w:tcPr>
          <w:p>
            <w:pPr>
              <w:jc w:val="center"/>
              <w:rPr>
                <w:rFonts w:hint="eastAsia" w:ascii="宋体" w:hAnsi="宋体" w:eastAsia="宋体" w:cs="宋体"/>
                <w:i w:val="0"/>
                <w:color w:val="000000"/>
                <w:sz w:val="16"/>
                <w:szCs w:val="16"/>
                <w:u w:val="none"/>
              </w:rPr>
            </w:pPr>
          </w:p>
        </w:tc>
        <w:tc>
          <w:tcPr>
            <w:tcW w:w="1005" w:type="dxa"/>
            <w:shd w:val="clear" w:color="auto" w:fill="auto"/>
            <w:vAlign w:val="center"/>
          </w:tcPr>
          <w:p>
            <w:pPr>
              <w:jc w:val="center"/>
              <w:rPr>
                <w:rFonts w:hint="eastAsia" w:ascii="宋体" w:hAnsi="宋体" w:eastAsia="宋体" w:cs="宋体"/>
                <w:i w:val="0"/>
                <w:color w:val="000000"/>
                <w:sz w:val="16"/>
                <w:szCs w:val="16"/>
                <w:u w:val="none"/>
              </w:rPr>
            </w:pPr>
          </w:p>
        </w:tc>
        <w:tc>
          <w:tcPr>
            <w:tcW w:w="1209" w:type="dxa"/>
            <w:shd w:val="clear" w:color="auto" w:fill="auto"/>
            <w:vAlign w:val="center"/>
          </w:tcPr>
          <w:p>
            <w:pPr>
              <w:jc w:val="center"/>
              <w:rPr>
                <w:rFonts w:hint="eastAsia" w:ascii="宋体" w:hAnsi="宋体" w:eastAsia="宋体" w:cs="宋体"/>
                <w:i w:val="0"/>
                <w:color w:val="000000"/>
                <w:sz w:val="16"/>
                <w:szCs w:val="16"/>
                <w:u w:val="none"/>
              </w:rPr>
            </w:pPr>
          </w:p>
        </w:tc>
        <w:tc>
          <w:tcPr>
            <w:tcW w:w="109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金额部门：万元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996"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w:t>
            </w:r>
            <w:r>
              <w:rPr>
                <w:rFonts w:ascii="Calibri" w:hAnsi="Calibri" w:eastAsia="宋体" w:cs="Calibri"/>
                <w:i w:val="0"/>
                <w:color w:val="000000"/>
                <w:kern w:val="0"/>
                <w:sz w:val="16"/>
                <w:szCs w:val="16"/>
                <w:u w:val="none"/>
                <w:lang w:val="en-US" w:eastAsia="zh-CN" w:bidi="ar"/>
              </w:rPr>
              <w:t xml:space="preserve"> </w:t>
            </w:r>
            <w:r>
              <w:rPr>
                <w:rFonts w:hint="eastAsia" w:ascii="宋体" w:hAnsi="宋体" w:eastAsia="宋体" w:cs="宋体"/>
                <w:i w:val="0"/>
                <w:color w:val="000000"/>
                <w:kern w:val="0"/>
                <w:sz w:val="16"/>
                <w:szCs w:val="16"/>
                <w:u w:val="none"/>
                <w:lang w:val="en-US" w:eastAsia="zh-CN" w:bidi="ar"/>
              </w:rPr>
              <w:t>基本情况</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项目名称</w:t>
            </w:r>
          </w:p>
        </w:tc>
        <w:tc>
          <w:tcPr>
            <w:tcW w:w="23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法律咨询服务费</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实施(主管）部门</w:t>
            </w:r>
          </w:p>
        </w:tc>
        <w:tc>
          <w:tcPr>
            <w:tcW w:w="33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9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二、预算执行情况</w:t>
            </w:r>
          </w:p>
        </w:tc>
        <w:tc>
          <w:tcPr>
            <w:tcW w:w="23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预算安排情况（调整后）</w:t>
            </w:r>
          </w:p>
        </w:tc>
        <w:tc>
          <w:tcPr>
            <w:tcW w:w="21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资金到位情况</w:t>
            </w:r>
          </w:p>
        </w:tc>
        <w:tc>
          <w:tcPr>
            <w:tcW w:w="22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资金执行情况</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预算数：</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6</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到位数：</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6</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执行数：</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 xml:space="preserve">6.00 </w:t>
            </w:r>
          </w:p>
        </w:tc>
        <w:tc>
          <w:tcPr>
            <w:tcW w:w="10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6</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6</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 xml:space="preserve">6.00 </w:t>
            </w:r>
          </w:p>
        </w:tc>
        <w:tc>
          <w:tcPr>
            <w:tcW w:w="10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eastAsia="宋体" w:cs="Calibri"/>
                <w:i w:val="0"/>
                <w:color w:val="000000"/>
                <w:sz w:val="21"/>
                <w:szCs w:val="21"/>
                <w:u w:val="none"/>
              </w:rPr>
            </w:pP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0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9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三、目标完成情况</w:t>
            </w:r>
          </w:p>
        </w:tc>
        <w:tc>
          <w:tcPr>
            <w:tcW w:w="35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年度预期目标</w:t>
            </w:r>
          </w:p>
        </w:tc>
        <w:tc>
          <w:tcPr>
            <w:tcW w:w="32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具体完成情况</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总体完成率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54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通过开展法律咨询及其他相关服务，提升审计质量和审计机关法制管理水平。</w:t>
            </w:r>
          </w:p>
        </w:tc>
        <w:tc>
          <w:tcPr>
            <w:tcW w:w="321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聘请律师事务所执业律师为法律顾问，在授权范围内依法独立提供法律事务咨询服务，讲授法律知识提供法律咨询服务，</w:t>
            </w:r>
          </w:p>
        </w:tc>
        <w:tc>
          <w:tcPr>
            <w:tcW w:w="109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54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321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1094"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54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321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1094"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996"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四、</w:t>
            </w:r>
            <w:r>
              <w:rPr>
                <w:rFonts w:ascii="Calibri" w:hAnsi="Calibri" w:eastAsia="宋体" w:cs="Calibri"/>
                <w:i w:val="0"/>
                <w:color w:val="000000"/>
                <w:kern w:val="0"/>
                <w:sz w:val="16"/>
                <w:szCs w:val="16"/>
                <w:u w:val="none"/>
                <w:lang w:val="en-US" w:eastAsia="zh-CN" w:bidi="ar"/>
              </w:rPr>
              <w:t xml:space="preserve"> </w:t>
            </w:r>
            <w:r>
              <w:rPr>
                <w:rFonts w:hint="eastAsia" w:ascii="宋体" w:hAnsi="宋体" w:eastAsia="宋体" w:cs="宋体"/>
                <w:i w:val="0"/>
                <w:color w:val="000000"/>
                <w:kern w:val="0"/>
                <w:sz w:val="16"/>
                <w:szCs w:val="16"/>
                <w:u w:val="none"/>
                <w:lang w:val="en-US" w:eastAsia="zh-CN" w:bidi="ar"/>
              </w:rPr>
              <w:t>年度绩效指标完成情况</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一级指标</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二级指标</w:t>
            </w:r>
          </w:p>
        </w:tc>
        <w:tc>
          <w:tcPr>
            <w:tcW w:w="21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三级指标</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预期指标值</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实际完成值</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99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产出指标（40）</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数量指标</w:t>
            </w:r>
          </w:p>
        </w:tc>
        <w:tc>
          <w:tcPr>
            <w:tcW w:w="21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提供法律咨询次数</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≥3次</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10次</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99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质量指标</w:t>
            </w:r>
          </w:p>
        </w:tc>
        <w:tc>
          <w:tcPr>
            <w:tcW w:w="21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法律顾问服务合格率</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≥90%</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99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时效指标</w:t>
            </w:r>
          </w:p>
        </w:tc>
        <w:tc>
          <w:tcPr>
            <w:tcW w:w="21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工作完成时间</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2024年12月31日前</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99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成本指标</w:t>
            </w:r>
          </w:p>
        </w:tc>
        <w:tc>
          <w:tcPr>
            <w:tcW w:w="21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项目总成本</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≤6万元</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6万元</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99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w:t>
            </w:r>
          </w:p>
        </w:tc>
        <w:tc>
          <w:tcPr>
            <w:tcW w:w="21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“预算执行率”指标自评得分=预算执行进度*10。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100.00%</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99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效益指标（40）</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社会效益指标</w:t>
            </w:r>
          </w:p>
        </w:tc>
        <w:tc>
          <w:tcPr>
            <w:tcW w:w="21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服务效果</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效果良好</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效果良好</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99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满意度指标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满意度指标</w:t>
            </w:r>
          </w:p>
        </w:tc>
        <w:tc>
          <w:tcPr>
            <w:tcW w:w="21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服务对象满意度</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≥90%</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99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675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总分</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99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五、</w:t>
            </w:r>
            <w:r>
              <w:rPr>
                <w:rFonts w:ascii="Calibri" w:hAnsi="Calibri" w:eastAsia="宋体" w:cs="Calibri"/>
                <w:i w:val="0"/>
                <w:color w:val="000000"/>
                <w:kern w:val="0"/>
                <w:sz w:val="16"/>
                <w:szCs w:val="16"/>
                <w:u w:val="none"/>
                <w:lang w:val="en-US" w:eastAsia="zh-CN" w:bidi="ar"/>
              </w:rPr>
              <w:t xml:space="preserve"> </w:t>
            </w:r>
            <w:r>
              <w:rPr>
                <w:rFonts w:hint="eastAsia" w:ascii="宋体" w:hAnsi="宋体" w:eastAsia="宋体" w:cs="宋体"/>
                <w:i w:val="0"/>
                <w:color w:val="000000"/>
                <w:kern w:val="0"/>
                <w:sz w:val="16"/>
                <w:szCs w:val="16"/>
                <w:u w:val="none"/>
                <w:lang w:val="en-US" w:eastAsia="zh-CN" w:bidi="ar"/>
              </w:rPr>
              <w:t>存在问题、原因及下一步整改措施</w:t>
            </w:r>
          </w:p>
        </w:tc>
        <w:tc>
          <w:tcPr>
            <w:tcW w:w="784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进一步加强法律顾问工作的管理，落实好法律顾问咨询服务合同，充分发挥法律顾问作用，重大决策、规范性文件制定、合同起草签订、合法性审查均征求法律顾问意见，进一步提升咨询服务使用效果。</w:t>
            </w:r>
          </w:p>
        </w:tc>
      </w:tr>
    </w:tbl>
    <w:p>
      <w:pPr>
        <w:rPr>
          <w:rFonts w:hint="eastAsia" w:ascii="Times New Roman" w:eastAsia="仿宋_GB2312" w:cs="宋体" w:hAnsiTheme="minorHAnsi"/>
          <w:b/>
          <w:color w:val="auto"/>
          <w:kern w:val="0"/>
          <w:sz w:val="32"/>
          <w:szCs w:val="32"/>
          <w:lang w:val="en-US" w:eastAsia="zh-CN" w:bidi="ar-SA"/>
        </w:rPr>
      </w:pPr>
    </w:p>
    <w:p>
      <w:pPr>
        <w:widowControl/>
        <w:numPr>
          <w:ilvl w:val="0"/>
          <w:numId w:val="2"/>
        </w:numPr>
        <w:spacing w:before="0" w:beforeLines="0" w:beforeAutospacing="0" w:after="0" w:afterLines="0" w:afterAutospacing="0" w:line="360" w:lineRule="auto"/>
        <w:ind w:firstLine="200" w:firstLineChars="200"/>
        <w:jc w:val="left"/>
        <w:rPr>
          <w:rFonts w:ascii="Times New Roman" w:eastAsia="仿宋_GB2312"/>
          <w:b/>
          <w:sz w:val="32"/>
          <w:szCs w:val="32"/>
        </w:rPr>
      </w:pPr>
      <w:r>
        <w:rPr>
          <w:rFonts w:ascii="Times New Roman" w:eastAsia="仿宋_GB2312"/>
          <w:b/>
          <w:sz w:val="32"/>
          <w:szCs w:val="32"/>
        </w:rPr>
        <w:t>部门评价项目绩效评价结果</w:t>
      </w:r>
    </w:p>
    <w:p>
      <w:pPr>
        <w:widowControl/>
        <w:spacing w:before="0" w:beforeLines="0" w:beforeAutospacing="0" w:after="0" w:afterLines="0" w:afterAutospacing="0" w:line="360" w:lineRule="auto"/>
        <w:ind w:firstLine="200" w:firstLineChars="200"/>
        <w:jc w:val="left"/>
        <w:rPr>
          <w:rFonts w:ascii="Times New Roman" w:eastAsia="仿宋_GB2312"/>
          <w:b w:val="0"/>
          <w:sz w:val="32"/>
          <w:szCs w:val="32"/>
        </w:rPr>
      </w:pPr>
      <w:r>
        <w:rPr>
          <w:rFonts w:hint="eastAsia" w:ascii="Times New Roman" w:eastAsia="仿宋_GB2312"/>
          <w:b w:val="0"/>
          <w:sz w:val="32"/>
          <w:szCs w:val="32"/>
        </w:rPr>
        <w:t>本部门参与评价的项目共计9个，9个项目的产出和效果指标全部完成，自评结果为优秀。</w:t>
      </w:r>
    </w:p>
    <w:p>
      <w:pPr>
        <w:widowControl/>
        <w:spacing w:before="0" w:beforeLines="0" w:beforeAutospacing="0" w:after="0" w:afterLines="0" w:afterAutospacing="0" w:line="360" w:lineRule="auto"/>
        <w:ind w:firstLine="200" w:firstLineChars="200"/>
        <w:jc w:val="left"/>
        <w:rPr>
          <w:rFonts w:ascii="Times New Roman" w:eastAsia="黑体"/>
          <w:sz w:val="32"/>
          <w:szCs w:val="32"/>
        </w:rPr>
      </w:pPr>
      <w:r>
        <w:rPr>
          <w:rFonts w:ascii="Times New Roman" w:eastAsia="黑体"/>
          <w:b w:val="0"/>
          <w:sz w:val="32"/>
          <w:szCs w:val="32"/>
        </w:rPr>
        <w:t>十、其他需要说明的情况</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1.本</w:t>
      </w:r>
      <w:r>
        <w:rPr>
          <w:rFonts w:hint="eastAsia" w:ascii="Times New Roman" w:eastAsia="仿宋_GB2312"/>
          <w:b w:val="0"/>
          <w:sz w:val="32"/>
          <w:szCs w:val="32"/>
          <w:lang w:eastAsia="zh-CN"/>
        </w:rPr>
        <w:t>部门</w:t>
      </w:r>
      <w:r>
        <w:rPr>
          <w:rFonts w:ascii="Times New Roman" w:eastAsia="仿宋_GB2312"/>
          <w:b w:val="0"/>
          <w:sz w:val="32"/>
          <w:szCs w:val="32"/>
        </w:rPr>
        <w:t>2024年度政府性基金预算财政拨款收入支出决算表（公开07表）、国有资本经营预算财政拨款支出决算表（公开08表）无相应收支，故空表列示。</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2.由于决算公开表格中金额数值应当保留两位小数，公开数据为四舍五入计算结果，个别数据合计项与分项之和存在小数点后差额，特此说明。</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br w:type="page"/>
      </w:r>
    </w:p>
    <w:p>
      <w:pPr>
        <w:widowControl/>
        <w:spacing w:before="0" w:beforeLines="0" w:beforeAutospacing="0" w:after="0" w:afterLines="0" w:afterAutospacing="0" w:line="360" w:lineRule="auto"/>
        <w:jc w:val="center"/>
        <w:outlineLvl w:val="0"/>
        <w:rPr>
          <w:rFonts w:ascii="Times New Roman" w:eastAsia="黑体"/>
          <w:sz w:val="44"/>
          <w:szCs w:val="44"/>
        </w:rPr>
      </w:pPr>
      <w:r>
        <w:rPr>
          <w:rFonts w:ascii="Times New Roman" w:eastAsia="黑体"/>
          <w:b w:val="0"/>
          <w:sz w:val="44"/>
          <w:szCs w:val="44"/>
        </w:rPr>
        <w:t>第四部分名词解释</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一、财政拨款收入：</w:t>
      </w:r>
      <w:r>
        <w:rPr>
          <w:rFonts w:ascii="Times New Roman" w:eastAsia="仿宋_GB2312"/>
          <w:b w:val="0"/>
          <w:sz w:val="32"/>
          <w:szCs w:val="32"/>
        </w:rPr>
        <w:t>指</w:t>
      </w:r>
      <w:r>
        <w:rPr>
          <w:rFonts w:hint="eastAsia" w:ascii="Times New Roman" w:eastAsia="仿宋_GB2312"/>
          <w:b w:val="0"/>
          <w:sz w:val="32"/>
          <w:szCs w:val="32"/>
          <w:lang w:eastAsia="zh-CN"/>
        </w:rPr>
        <w:t>部门</w:t>
      </w:r>
      <w:r>
        <w:rPr>
          <w:rFonts w:ascii="Times New Roman" w:eastAsia="仿宋_GB2312"/>
          <w:b w:val="0"/>
          <w:sz w:val="32"/>
          <w:szCs w:val="32"/>
        </w:rPr>
        <w:t>从同级财政部门取得的财政预算资金。</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二、事业收入：</w:t>
      </w:r>
      <w:r>
        <w:rPr>
          <w:rFonts w:ascii="Times New Roman" w:eastAsia="仿宋_GB2312"/>
          <w:b w:val="0"/>
          <w:sz w:val="32"/>
          <w:szCs w:val="32"/>
        </w:rPr>
        <w:t>指事业</w:t>
      </w:r>
      <w:r>
        <w:rPr>
          <w:rFonts w:hint="eastAsia" w:ascii="Times New Roman" w:eastAsia="仿宋_GB2312"/>
          <w:b w:val="0"/>
          <w:sz w:val="32"/>
          <w:szCs w:val="32"/>
          <w:lang w:eastAsia="zh-CN"/>
        </w:rPr>
        <w:t>部门</w:t>
      </w:r>
      <w:r>
        <w:rPr>
          <w:rFonts w:ascii="Times New Roman" w:eastAsia="仿宋_GB2312"/>
          <w:b w:val="0"/>
          <w:sz w:val="32"/>
          <w:szCs w:val="32"/>
        </w:rPr>
        <w:t>开展专业业务活动及辅助活动取得的收入。</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三、经营收入：</w:t>
      </w:r>
      <w:r>
        <w:rPr>
          <w:rFonts w:ascii="Times New Roman" w:eastAsia="仿宋_GB2312"/>
          <w:b w:val="0"/>
          <w:sz w:val="32"/>
          <w:szCs w:val="32"/>
        </w:rPr>
        <w:t>指事业</w:t>
      </w:r>
      <w:r>
        <w:rPr>
          <w:rFonts w:hint="eastAsia" w:ascii="Times New Roman" w:eastAsia="仿宋_GB2312"/>
          <w:b w:val="0"/>
          <w:sz w:val="32"/>
          <w:szCs w:val="32"/>
          <w:lang w:eastAsia="zh-CN"/>
        </w:rPr>
        <w:t>部门</w:t>
      </w:r>
      <w:r>
        <w:rPr>
          <w:rFonts w:ascii="Times New Roman" w:eastAsia="仿宋_GB2312"/>
          <w:b w:val="0"/>
          <w:sz w:val="32"/>
          <w:szCs w:val="32"/>
        </w:rPr>
        <w:t>在专业业务活动及其辅助活动之外开展非独立核算经营活动取得的收入。</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四、其他收入：</w:t>
      </w:r>
      <w:r>
        <w:rPr>
          <w:rFonts w:ascii="Times New Roman" w:eastAsia="仿宋_GB2312"/>
          <w:b w:val="0"/>
          <w:sz w:val="32"/>
          <w:szCs w:val="32"/>
        </w:rPr>
        <w:t>指</w:t>
      </w:r>
      <w:r>
        <w:rPr>
          <w:rFonts w:hint="eastAsia" w:ascii="Times New Roman" w:eastAsia="仿宋_GB2312"/>
          <w:b w:val="0"/>
          <w:sz w:val="32"/>
          <w:szCs w:val="32"/>
          <w:lang w:eastAsia="zh-CN"/>
        </w:rPr>
        <w:t>部门</w:t>
      </w:r>
      <w:r>
        <w:rPr>
          <w:rFonts w:ascii="Times New Roman" w:eastAsia="仿宋_GB2312"/>
          <w:b w:val="0"/>
          <w:sz w:val="32"/>
          <w:szCs w:val="32"/>
        </w:rPr>
        <w:t>取得的除上述收入以外的各项收入。主要是事业</w:t>
      </w:r>
      <w:r>
        <w:rPr>
          <w:rFonts w:hint="eastAsia" w:ascii="Times New Roman" w:eastAsia="仿宋_GB2312"/>
          <w:b w:val="0"/>
          <w:sz w:val="32"/>
          <w:szCs w:val="32"/>
          <w:lang w:eastAsia="zh-CN"/>
        </w:rPr>
        <w:t>部门</w:t>
      </w:r>
      <w:r>
        <w:rPr>
          <w:rFonts w:ascii="Times New Roman" w:eastAsia="仿宋_GB2312"/>
          <w:b w:val="0"/>
          <w:sz w:val="32"/>
          <w:szCs w:val="32"/>
        </w:rPr>
        <w:t>固定资产出租收入、存款利息收入等。</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五、使用非财政拨款结余（含专用结余）：</w:t>
      </w:r>
      <w:r>
        <w:rPr>
          <w:rFonts w:ascii="Times New Roman" w:eastAsia="仿宋_GB2312"/>
          <w:b w:val="0"/>
          <w:sz w:val="32"/>
          <w:szCs w:val="32"/>
        </w:rPr>
        <w:t>指事业</w:t>
      </w:r>
      <w:r>
        <w:rPr>
          <w:rFonts w:hint="eastAsia" w:ascii="Times New Roman" w:eastAsia="仿宋_GB2312"/>
          <w:b w:val="0"/>
          <w:sz w:val="32"/>
          <w:szCs w:val="32"/>
          <w:lang w:eastAsia="zh-CN"/>
        </w:rPr>
        <w:t>部门</w:t>
      </w:r>
      <w:r>
        <w:rPr>
          <w:rFonts w:ascii="Times New Roman" w:eastAsia="仿宋_GB2312"/>
          <w:b w:val="0"/>
          <w:sz w:val="32"/>
          <w:szCs w:val="32"/>
        </w:rPr>
        <w:t>按照预算管理要求使用非财政拨款结余弥补收支差额的金额，以及使用专用结余安排支出的金额。</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六、年初结转和结余：</w:t>
      </w:r>
      <w:r>
        <w:rPr>
          <w:rFonts w:ascii="Times New Roman" w:eastAsia="仿宋_GB2312"/>
          <w:b w:val="0"/>
          <w:sz w:val="32"/>
          <w:szCs w:val="32"/>
        </w:rPr>
        <w:t>指</w:t>
      </w:r>
      <w:r>
        <w:rPr>
          <w:rFonts w:hint="eastAsia" w:ascii="Times New Roman" w:eastAsia="仿宋_GB2312"/>
          <w:b w:val="0"/>
          <w:sz w:val="32"/>
          <w:szCs w:val="32"/>
          <w:lang w:eastAsia="zh-CN"/>
        </w:rPr>
        <w:t>部门</w:t>
      </w:r>
      <w:r>
        <w:rPr>
          <w:rFonts w:ascii="Times New Roman" w:eastAsia="仿宋_GB2312"/>
          <w:b w:val="0"/>
          <w:sz w:val="32"/>
          <w:szCs w:val="32"/>
        </w:rPr>
        <w:t>以前年度尚未完成、结转到本年仍按原规定用途继续使用的资金，或项目已完成等产生的结余资金。</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七、结余分配：</w:t>
      </w:r>
      <w:r>
        <w:rPr>
          <w:rFonts w:ascii="Times New Roman" w:eastAsia="仿宋_GB2312"/>
          <w:b w:val="0"/>
          <w:sz w:val="32"/>
          <w:szCs w:val="32"/>
        </w:rPr>
        <w:t>指事业</w:t>
      </w:r>
      <w:r>
        <w:rPr>
          <w:rFonts w:hint="eastAsia" w:ascii="Times New Roman" w:eastAsia="仿宋_GB2312"/>
          <w:b w:val="0"/>
          <w:sz w:val="32"/>
          <w:szCs w:val="32"/>
          <w:lang w:eastAsia="zh-CN"/>
        </w:rPr>
        <w:t>部门</w:t>
      </w:r>
      <w:r>
        <w:rPr>
          <w:rFonts w:ascii="Times New Roman" w:eastAsia="仿宋_GB2312"/>
          <w:b w:val="0"/>
          <w:sz w:val="32"/>
          <w:szCs w:val="32"/>
        </w:rPr>
        <w:t>按照会计制度规定缴纳的所得税、提取的专用结余以及转入非财政拨款结余的金额等。</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八、年末结转和结余：</w:t>
      </w:r>
      <w:r>
        <w:rPr>
          <w:rFonts w:ascii="Times New Roman" w:eastAsia="仿宋_GB2312"/>
          <w:b w:val="0"/>
          <w:sz w:val="32"/>
          <w:szCs w:val="32"/>
        </w:rPr>
        <w:t>指</w:t>
      </w:r>
      <w:r>
        <w:rPr>
          <w:rFonts w:hint="eastAsia" w:ascii="Times New Roman" w:eastAsia="仿宋_GB2312"/>
          <w:b w:val="0"/>
          <w:sz w:val="32"/>
          <w:szCs w:val="32"/>
          <w:lang w:eastAsia="zh-CN"/>
        </w:rPr>
        <w:t>部门</w:t>
      </w:r>
      <w:r>
        <w:rPr>
          <w:rFonts w:ascii="Times New Roman" w:eastAsia="仿宋_GB2312"/>
          <w:b w:val="0"/>
          <w:sz w:val="32"/>
          <w:szCs w:val="32"/>
        </w:rPr>
        <w:t>按有关规定结转到下年或以后年度继续使用的资金，或项目已完成等产生的结余资金。</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九、基本支出：</w:t>
      </w:r>
      <w:r>
        <w:rPr>
          <w:rFonts w:ascii="Times New Roman" w:eastAsia="仿宋_GB2312"/>
          <w:b w:val="0"/>
          <w:sz w:val="32"/>
          <w:szCs w:val="32"/>
        </w:rPr>
        <w:t>指为保障机构正常运转、完成日常工作任务而发生的人员支出和公用支出。</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十、项目支出：</w:t>
      </w:r>
      <w:r>
        <w:rPr>
          <w:rFonts w:ascii="Times New Roman" w:eastAsia="仿宋_GB2312"/>
          <w:b w:val="0"/>
          <w:sz w:val="32"/>
          <w:szCs w:val="32"/>
        </w:rPr>
        <w:t>指在基本支出之外为完成特定行政任务和事业发展目标所发生的支出。</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十一、经营支出：</w:t>
      </w:r>
      <w:r>
        <w:rPr>
          <w:rFonts w:ascii="Times New Roman" w:eastAsia="仿宋_GB2312"/>
          <w:b w:val="0"/>
          <w:sz w:val="32"/>
          <w:szCs w:val="32"/>
        </w:rPr>
        <w:t>指事业</w:t>
      </w:r>
      <w:r>
        <w:rPr>
          <w:rFonts w:hint="eastAsia" w:ascii="Times New Roman" w:eastAsia="仿宋_GB2312"/>
          <w:b w:val="0"/>
          <w:sz w:val="32"/>
          <w:szCs w:val="32"/>
          <w:lang w:eastAsia="zh-CN"/>
        </w:rPr>
        <w:t>部门</w:t>
      </w:r>
      <w:r>
        <w:rPr>
          <w:rFonts w:ascii="Times New Roman" w:eastAsia="仿宋_GB2312"/>
          <w:b w:val="0"/>
          <w:sz w:val="32"/>
          <w:szCs w:val="32"/>
        </w:rPr>
        <w:t>在专业业务活动及其辅助活动之外开展非独立核算经营活动发生的支出。</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十二、基本建设支出：</w:t>
      </w:r>
      <w:r>
        <w:rPr>
          <w:rFonts w:ascii="Times New Roman" w:eastAsia="仿宋_GB2312"/>
          <w:b w:val="0"/>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十三、其他资本性支出：</w:t>
      </w:r>
      <w:r>
        <w:rPr>
          <w:rFonts w:ascii="Times New Roman" w:eastAsia="仿宋_GB2312"/>
          <w:b w:val="0"/>
          <w:sz w:val="32"/>
          <w:szCs w:val="32"/>
        </w:rPr>
        <w:t>填列由各级非发展与改革部门集中安排的用于购置固定资产、战备性和应急性储备、土地和无形资产，以及购建基础设施、大型修缮和财政支持企业更新改造所发生的支出。</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十四、“三公”经费：</w:t>
      </w:r>
      <w:r>
        <w:rPr>
          <w:rFonts w:ascii="Times New Roman" w:eastAsia="仿宋_GB2312"/>
          <w:b w:val="0"/>
          <w:sz w:val="32"/>
          <w:szCs w:val="32"/>
        </w:rPr>
        <w:t>指部门用财政拨款安排的因公出国（境）费、公务用车购置及运行费和公务接待费。其中，因公出国（境）费反映</w:t>
      </w:r>
      <w:r>
        <w:rPr>
          <w:rFonts w:hint="eastAsia" w:ascii="Times New Roman" w:eastAsia="仿宋_GB2312"/>
          <w:b w:val="0"/>
          <w:sz w:val="32"/>
          <w:szCs w:val="32"/>
          <w:lang w:eastAsia="zh-CN"/>
        </w:rPr>
        <w:t>部门</w:t>
      </w:r>
      <w:r>
        <w:rPr>
          <w:rFonts w:ascii="Times New Roman" w:eastAsia="仿宋_GB2312"/>
          <w:b w:val="0"/>
          <w:sz w:val="32"/>
          <w:szCs w:val="32"/>
        </w:rPr>
        <w:t>公务出国（境）的国际旅费、国外城市间交通费、住宿费、伙食费、培训费、公杂费等支出；公务用车购置及运行费反映</w:t>
      </w:r>
      <w:r>
        <w:rPr>
          <w:rFonts w:hint="eastAsia" w:ascii="Times New Roman" w:eastAsia="仿宋_GB2312"/>
          <w:b w:val="0"/>
          <w:sz w:val="32"/>
          <w:szCs w:val="32"/>
          <w:lang w:eastAsia="zh-CN"/>
        </w:rPr>
        <w:t>部门</w:t>
      </w:r>
      <w:r>
        <w:rPr>
          <w:rFonts w:ascii="Times New Roman" w:eastAsia="仿宋_GB2312"/>
          <w:b w:val="0"/>
          <w:sz w:val="32"/>
          <w:szCs w:val="32"/>
        </w:rPr>
        <w:t>公务用车购置支出（含车辆购置税、牌照费）及按规定保留的公务用车燃料费、维修费、过桥过路费、保险费、安全奖励费用等支出；公务接待费反映</w:t>
      </w:r>
      <w:r>
        <w:rPr>
          <w:rFonts w:hint="eastAsia" w:ascii="Times New Roman" w:eastAsia="仿宋_GB2312"/>
          <w:b w:val="0"/>
          <w:sz w:val="32"/>
          <w:szCs w:val="32"/>
          <w:lang w:eastAsia="zh-CN"/>
        </w:rPr>
        <w:t>部门</w:t>
      </w:r>
      <w:r>
        <w:rPr>
          <w:rFonts w:ascii="Times New Roman" w:eastAsia="仿宋_GB2312"/>
          <w:b w:val="0"/>
          <w:sz w:val="32"/>
          <w:szCs w:val="32"/>
        </w:rPr>
        <w:t>按规定开支的各类公务接待（含外宾接待）支出。</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十五、其他交通费用：</w:t>
      </w:r>
      <w:r>
        <w:rPr>
          <w:rFonts w:ascii="Times New Roman" w:eastAsia="仿宋_GB2312"/>
          <w:b w:val="0"/>
          <w:sz w:val="32"/>
          <w:szCs w:val="32"/>
        </w:rPr>
        <w:t>填列</w:t>
      </w:r>
      <w:r>
        <w:rPr>
          <w:rFonts w:hint="eastAsia" w:ascii="Times New Roman" w:eastAsia="仿宋_GB2312"/>
          <w:b w:val="0"/>
          <w:sz w:val="32"/>
          <w:szCs w:val="32"/>
          <w:lang w:eastAsia="zh-CN"/>
        </w:rPr>
        <w:t>部门</w:t>
      </w:r>
      <w:r>
        <w:rPr>
          <w:rFonts w:ascii="Times New Roman" w:eastAsia="仿宋_GB2312"/>
          <w:b w:val="0"/>
          <w:sz w:val="32"/>
          <w:szCs w:val="32"/>
        </w:rPr>
        <w:t>除公务用车运行维护费以外的其他交通费用。如公务交通补贴、租车费用、出租车费用，飞机、船舶等燃料费、维修费、保险费等。</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十六、公务用车购置：</w:t>
      </w:r>
      <w:r>
        <w:rPr>
          <w:rFonts w:ascii="Times New Roman" w:eastAsia="仿宋_GB2312"/>
          <w:b w:val="0"/>
          <w:sz w:val="32"/>
          <w:szCs w:val="32"/>
        </w:rPr>
        <w:t>填列</w:t>
      </w:r>
      <w:r>
        <w:rPr>
          <w:rFonts w:hint="eastAsia" w:ascii="Times New Roman" w:eastAsia="仿宋_GB2312"/>
          <w:b w:val="0"/>
          <w:sz w:val="32"/>
          <w:szCs w:val="32"/>
          <w:lang w:eastAsia="zh-CN"/>
        </w:rPr>
        <w:t>部门</w:t>
      </w:r>
      <w:r>
        <w:rPr>
          <w:rFonts w:ascii="Times New Roman" w:eastAsia="仿宋_GB2312"/>
          <w:b w:val="0"/>
          <w:sz w:val="32"/>
          <w:szCs w:val="32"/>
        </w:rPr>
        <w:t>公务用车车辆购置支出（含车辆购置税、牌照费）。</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十七、其他交通工具购置：</w:t>
      </w:r>
      <w:r>
        <w:rPr>
          <w:rFonts w:ascii="Times New Roman" w:eastAsia="仿宋_GB2312"/>
          <w:b w:val="0"/>
          <w:sz w:val="32"/>
          <w:szCs w:val="32"/>
        </w:rPr>
        <w:t>填列</w:t>
      </w:r>
      <w:r>
        <w:rPr>
          <w:rFonts w:hint="eastAsia" w:ascii="Times New Roman" w:eastAsia="仿宋_GB2312"/>
          <w:b w:val="0"/>
          <w:sz w:val="32"/>
          <w:szCs w:val="32"/>
          <w:lang w:eastAsia="zh-CN"/>
        </w:rPr>
        <w:t>部门</w:t>
      </w:r>
      <w:r>
        <w:rPr>
          <w:rFonts w:ascii="Times New Roman" w:eastAsia="仿宋_GB2312"/>
          <w:b w:val="0"/>
          <w:sz w:val="32"/>
          <w:szCs w:val="32"/>
        </w:rPr>
        <w:t>除公务用车外的其他各类交通工具（如船舶、飞机等）购置支出（含车辆购置税、牌照费）。</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十八、机关运行经费：</w:t>
      </w:r>
      <w:r>
        <w:rPr>
          <w:rFonts w:ascii="Times New Roman" w:eastAsia="仿宋_GB2312"/>
          <w:b w:val="0"/>
          <w:sz w:val="32"/>
          <w:szCs w:val="32"/>
        </w:rPr>
        <w:t>指为保障行政</w:t>
      </w:r>
      <w:r>
        <w:rPr>
          <w:rFonts w:hint="eastAsia" w:ascii="Times New Roman" w:eastAsia="仿宋_GB2312"/>
          <w:b w:val="0"/>
          <w:sz w:val="32"/>
          <w:szCs w:val="32"/>
          <w:lang w:eastAsia="zh-CN"/>
        </w:rPr>
        <w:t>部门</w:t>
      </w:r>
      <w:r>
        <w:rPr>
          <w:rFonts w:ascii="Times New Roman" w:eastAsia="仿宋_GB2312"/>
          <w:b w:val="0"/>
          <w:sz w:val="32"/>
          <w:szCs w:val="32"/>
        </w:rPr>
        <w:t>（包括参照公务员法管理的事业</w:t>
      </w:r>
      <w:r>
        <w:rPr>
          <w:rFonts w:hint="eastAsia" w:ascii="Times New Roman" w:eastAsia="仿宋_GB2312"/>
          <w:b w:val="0"/>
          <w:sz w:val="32"/>
          <w:szCs w:val="32"/>
          <w:lang w:eastAsia="zh-CN"/>
        </w:rPr>
        <w:t>部门</w:t>
      </w:r>
      <w:r>
        <w:rPr>
          <w:rFonts w:ascii="Times New Roman" w:eastAsia="仿宋_GB2312"/>
          <w:b w:val="0"/>
          <w:sz w:val="32"/>
          <w:szCs w:val="32"/>
        </w:rPr>
        <w:t>）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sectPr>
      <w:headerReference r:id="rId8" w:type="default"/>
      <w:pgSz w:w="11906" w:h="16838"/>
      <w:pgMar w:top="2098" w:right="1417" w:bottom="1871" w:left="1417" w:header="851" w:footer="992" w:gutter="0"/>
      <w:pgBorders>
        <w:top w:val="none" w:color="auto" w:sz="0" w:space="0"/>
        <w:left w:val="none" w:color="auto" w:sz="0" w:space="0"/>
        <w:bottom w:val="none" w:color="auto" w:sz="0" w:space="0"/>
        <w:right w:val="none" w:color="auto" w:sz="0" w:space="0"/>
      </w:pgBorders>
      <w:cols w:space="0" w:num="1"/>
      <w:rtlGutter w:val="0"/>
      <w:docGrid w:type="lines" w:linePitch="32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方正小标宋_GBK">
    <w:altName w:val="微软雅黑"/>
    <w:panose1 w:val="02000000000000000000"/>
    <w:charset w:val="86"/>
    <w:family w:val="script"/>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ArialUnicodeMS">
    <w:altName w:val="Malgun Gothic"/>
    <w:panose1 w:val="00000000000000000000"/>
    <w:charset w:val="81"/>
    <w:family w:val="auto"/>
    <w:pitch w:val="default"/>
    <w:sig w:usb0="00000000" w:usb1="00000000" w:usb2="00000010" w:usb3="00000000" w:csb0="00080001" w:csb1="00000000"/>
  </w:font>
  <w:font w:name="Malgun Gothic">
    <w:panose1 w:val="020B0503020000020004"/>
    <w:charset w:val="81"/>
    <w:family w:val="auto"/>
    <w:pitch w:val="default"/>
    <w:sig w:usb0="900002AF" w:usb1="01D77CFB" w:usb2="00000012" w:usb3="00000000" w:csb0="00080001" w:csb1="00000000"/>
  </w:font>
  <w:font w:name="方正仿宋_GB2312">
    <w:altName w:val="仿宋"/>
    <w:panose1 w:val="02000000000000000000"/>
    <w:charset w:val="86"/>
    <w:family w:val="auto"/>
    <w:pitch w:val="default"/>
    <w:sig w:usb0="00000000" w:usb1="00000000" w:usb2="00000000" w:usb3="00000000" w:csb0="0000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幼圆">
    <w:panose1 w:val="0201050906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书宋_GBK">
    <w:altName w:val="微软雅黑"/>
    <w:panose1 w:val="02000000000000000000"/>
    <w:charset w:val="86"/>
    <w:family w:val="auto"/>
    <w:pitch w:val="default"/>
    <w:sig w:usb0="00000000" w:usb1="00000000" w:usb2="00082016" w:usb3="00000000" w:csb0="00040001" w:csb1="00000000"/>
  </w:font>
  <w:font w:name="Nimbus Roman No9 L">
    <w:altName w:val="Segoe Print"/>
    <w:panose1 w:val="00000000000000000000"/>
    <w:charset w:val="00"/>
    <w:family w:val="auto"/>
    <w:pitch w:val="default"/>
    <w:sig w:usb0="00000000" w:usb1="00000000" w:usb2="00000000" w:usb3="00000000" w:csb0="00000000" w:csb1="00000000"/>
  </w:font>
  <w:font w:name="DejaVu Sans">
    <w:altName w:val="Segoe Print"/>
    <w:panose1 w:val="020B0603030804020204"/>
    <w:charset w:val="00"/>
    <w:family w:val="auto"/>
    <w:pitch w:val="default"/>
    <w:sig w:usb0="00000000" w:usb1="00000000" w:usb2="0A246029" w:usb3="0400200C" w:csb0="600001FF" w:csb1="DFFF0000"/>
  </w:font>
  <w:font w:name="Liberation Serif">
    <w:altName w:val="Traditional Arabic"/>
    <w:panose1 w:val="02020603050405020304"/>
    <w:charset w:val="00"/>
    <w:family w:val="auto"/>
    <w:pitch w:val="default"/>
    <w:sig w:usb0="00000000" w:usb1="00000000" w:usb2="00000000" w:usb3="00000000" w:csb0="6000009F" w:csb1="DFD70000"/>
  </w:font>
  <w:font w:name="汉仪中宋简">
    <w:altName w:val="宋体"/>
    <w:panose1 w:val="02010600000101010101"/>
    <w:charset w:val="86"/>
    <w:family w:val="auto"/>
    <w:pitch w:val="default"/>
    <w:sig w:usb0="00000000" w:usb1="00000000" w:usb2="00000002" w:usb3="00000000" w:csb0="00040000" w:csb1="00000000"/>
  </w:font>
  <w:font w:name="微软雅黑">
    <w:panose1 w:val="020B0503020204020204"/>
    <w:charset w:val="86"/>
    <w:family w:val="auto"/>
    <w:pitch w:val="default"/>
    <w:sig w:usb0="80000287" w:usb1="280F3C52" w:usb2="00000016" w:usb3="00000000" w:csb0="0004001F" w:csb1="00000000"/>
  </w:font>
  <w:font w:name="Traditional Arabic">
    <w:panose1 w:val="02020603050405020304"/>
    <w:charset w:val="00"/>
    <w:family w:val="auto"/>
    <w:pitch w:val="default"/>
    <w:sig w:usb0="00006003" w:usb1="80000000" w:usb2="00000008" w:usb3="00000000" w:csb0="00000041" w:csb1="20080000"/>
  </w:font>
  <w:font w:name="Arial">
    <w:panose1 w:val="020B0604020202020204"/>
    <w:charset w:val="00"/>
    <w:family w:val="auto"/>
    <w:pitch w:val="default"/>
    <w:sig w:usb0="E0002AFF" w:usb1="C0007843" w:usb2="00000009" w:usb3="00000000" w:csb0="400001FF" w:csb1="FFFF0000"/>
  </w:font>
  <w:font w:name="FangSong_GB2312">
    <w:altName w:val="仿宋_GB2312"/>
    <w:panose1 w:val="00000000000000000000"/>
    <w:charset w:val="86"/>
    <w:family w:val="auto"/>
    <w:pitch w:val="default"/>
    <w:sig w:usb0="00000000" w:usb1="00000000" w:usb2="00000000" w:usb3="00000000" w:csb0="00040000" w:csb1="00000000"/>
  </w:font>
  <w:font w:name="FZFangSong-Z02">
    <w:altName w:val="宋体"/>
    <w:panose1 w:val="00000000000000000000"/>
    <w:charset w:val="86"/>
    <w:family w:val="auto"/>
    <w:pitch w:val="default"/>
    <w:sig w:usb0="00000000" w:usb1="00000000" w:usb2="00000000" w:usb3="00000000" w:csb0="00040000" w:csb1="00000000"/>
  </w:font>
  <w:font w:name="font-weight : 400">
    <w:altName w:val="Segoe Print"/>
    <w:panose1 w:val="00000000000000000000"/>
    <w:charset w:val="00"/>
    <w:family w:val="auto"/>
    <w:pitch w:val="default"/>
    <w:sig w:usb0="00000000" w:usb1="00000000" w:usb2="00000000" w:usb3="00000000" w:csb0="00040001" w:csb1="00000000"/>
  </w:font>
  <w:font w:name="serif">
    <w:altName w:val="Segoe Print"/>
    <w:panose1 w:val="00000000000000000000"/>
    <w:charset w:val="00"/>
    <w:family w:val="auto"/>
    <w:pitch w:val="default"/>
    <w:sig w:usb0="00000000" w:usb1="00000000" w:usb2="00000000" w:usb3="00000000" w:csb0="00000000" w:csb1="00000000"/>
  </w:font>
  <w:font w:name="FangSong_GB2312">
    <w:altName w:val="仿宋_GB2312"/>
    <w:panose1 w:val="00000000000000000000"/>
    <w:charset w:val="00"/>
    <w:family w:val="auto"/>
    <w:pitch w:val="default"/>
    <w:sig w:usb0="00000000" w:usb1="00000000" w:usb2="00000000" w:usb3="00000000" w:csb0="00000000" w:csb1="00000000"/>
  </w:font>
  <w:font w:name="FangSong_GB2312,Bold">
    <w:altName w:val="宋体"/>
    <w:panose1 w:val="00000000000000000000"/>
    <w:charset w:val="86"/>
    <w:family w:val="auto"/>
    <w:pitch w:val="default"/>
    <w:sig w:usb0="00000000" w:usb1="00000000" w:usb2="00000000" w:usb3="00000000" w:csb0="00040000" w:csb1="00000000"/>
  </w:font>
  <w:font w:name="方正小标宋_GBK">
    <w:altName w:val="微软雅黑"/>
    <w:panose1 w:val="02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16A424"/>
    <w:multiLevelType w:val="multilevel"/>
    <w:tmpl w:val="5F16A424"/>
    <w:lvl w:ilvl="0" w:tentative="0">
      <w:start w:val="1"/>
      <w:numFmt w:val="decimal"/>
      <w:pStyle w:val="2"/>
      <w:lvlText w:val="%1."/>
      <w:lvlJc w:val="left"/>
      <w:pPr>
        <w:ind w:left="425" w:hanging="425"/>
      </w:pPr>
      <w:rPr>
        <w:rFonts w:hint="default"/>
      </w:rPr>
    </w:lvl>
    <w:lvl w:ilvl="1" w:tentative="0">
      <w:start w:val="1"/>
      <w:numFmt w:val="decimal"/>
      <w:pStyle w:val="3"/>
      <w:lvlText w:val="%1.%2."/>
      <w:lvlJc w:val="left"/>
      <w:pPr>
        <w:ind w:left="567" w:hanging="567"/>
      </w:pPr>
      <w:rPr>
        <w:rFonts w:hint="default"/>
      </w:rPr>
    </w:lvl>
    <w:lvl w:ilvl="2" w:tentative="0">
      <w:start w:val="1"/>
      <w:numFmt w:val="decimal"/>
      <w:pStyle w:val="4"/>
      <w:lvlText w:val="%1.%2.%3."/>
      <w:lvlJc w:val="left"/>
      <w:pPr>
        <w:ind w:left="709" w:hanging="709"/>
      </w:pPr>
      <w:rPr>
        <w:rFonts w:hint="default"/>
      </w:rPr>
    </w:lvl>
    <w:lvl w:ilvl="3" w:tentative="0">
      <w:start w:val="1"/>
      <w:numFmt w:val="decimal"/>
      <w:pStyle w:val="5"/>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68C285F4"/>
    <w:multiLevelType w:val="singleLevel"/>
    <w:tmpl w:val="68C285F4"/>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val="1"/>
  <w:bordersDoNotSurroundHeader w:val="0"/>
  <w:bordersDoNotSurroundFooter w:val="0"/>
  <w:documentProtection w:enforcement="0"/>
  <w:defaultTabStop w:val="420"/>
  <w:drawingGridVerticalSpacing w:val="165"/>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jksImhkaWQiOiJiMzk2N2EzZjUyYWViODRjZjJhMDZjM2YyYjk4MTExMiIsInVzZXJDb3VudCI6MX0="/>
  </w:docVars>
  <w:rsids>
    <w:rsidRoot w:val="00172A27"/>
    <w:rsid w:val="00086151"/>
    <w:rsid w:val="00236F8C"/>
    <w:rsid w:val="00822154"/>
    <w:rsid w:val="00C65689"/>
    <w:rsid w:val="00CC2C8E"/>
    <w:rsid w:val="01A03C5A"/>
    <w:rsid w:val="01A5267D"/>
    <w:rsid w:val="01AF6A8D"/>
    <w:rsid w:val="024808A2"/>
    <w:rsid w:val="025C3821"/>
    <w:rsid w:val="02DA3B1B"/>
    <w:rsid w:val="02E57B4D"/>
    <w:rsid w:val="03450B90"/>
    <w:rsid w:val="037B12D4"/>
    <w:rsid w:val="03804D63"/>
    <w:rsid w:val="03FB73B0"/>
    <w:rsid w:val="04806B11"/>
    <w:rsid w:val="04837DDF"/>
    <w:rsid w:val="049C1B9D"/>
    <w:rsid w:val="04BD008C"/>
    <w:rsid w:val="04C55939"/>
    <w:rsid w:val="04DA28BB"/>
    <w:rsid w:val="04F528BE"/>
    <w:rsid w:val="050E10CE"/>
    <w:rsid w:val="054F2DFB"/>
    <w:rsid w:val="05991C82"/>
    <w:rsid w:val="05CD1EC8"/>
    <w:rsid w:val="061416A9"/>
    <w:rsid w:val="061D60A6"/>
    <w:rsid w:val="06236884"/>
    <w:rsid w:val="064A5969"/>
    <w:rsid w:val="06B07006"/>
    <w:rsid w:val="06FC7C2A"/>
    <w:rsid w:val="07533AFE"/>
    <w:rsid w:val="07AC18F2"/>
    <w:rsid w:val="07B3657A"/>
    <w:rsid w:val="07C857D0"/>
    <w:rsid w:val="083F3A0A"/>
    <w:rsid w:val="08AB5AAF"/>
    <w:rsid w:val="09012C64"/>
    <w:rsid w:val="093B2E99"/>
    <w:rsid w:val="095D7943"/>
    <w:rsid w:val="09C006C6"/>
    <w:rsid w:val="0A10621F"/>
    <w:rsid w:val="0A464C4F"/>
    <w:rsid w:val="0A6729A3"/>
    <w:rsid w:val="0A694877"/>
    <w:rsid w:val="0AA954BE"/>
    <w:rsid w:val="0AE70639"/>
    <w:rsid w:val="0B4F5E6D"/>
    <w:rsid w:val="0B753AE2"/>
    <w:rsid w:val="0BB67D0A"/>
    <w:rsid w:val="0BC56230"/>
    <w:rsid w:val="0BCF21BD"/>
    <w:rsid w:val="0C4E53E8"/>
    <w:rsid w:val="0C6712D6"/>
    <w:rsid w:val="0C9F7900"/>
    <w:rsid w:val="0CB23317"/>
    <w:rsid w:val="0D101068"/>
    <w:rsid w:val="0D4E13BE"/>
    <w:rsid w:val="0D7557DF"/>
    <w:rsid w:val="0D853E34"/>
    <w:rsid w:val="0D9C2A57"/>
    <w:rsid w:val="0DC3019B"/>
    <w:rsid w:val="0DFA5D82"/>
    <w:rsid w:val="0E1E52CE"/>
    <w:rsid w:val="0E866524"/>
    <w:rsid w:val="0E9268D3"/>
    <w:rsid w:val="0E957F1F"/>
    <w:rsid w:val="0F0E7284"/>
    <w:rsid w:val="0F28110F"/>
    <w:rsid w:val="0F37083F"/>
    <w:rsid w:val="0F7470AF"/>
    <w:rsid w:val="0F891DB8"/>
    <w:rsid w:val="0F8D3287"/>
    <w:rsid w:val="0FAA3B86"/>
    <w:rsid w:val="10191346"/>
    <w:rsid w:val="102A01A6"/>
    <w:rsid w:val="105A290D"/>
    <w:rsid w:val="10754A6C"/>
    <w:rsid w:val="108B537D"/>
    <w:rsid w:val="10B11DB1"/>
    <w:rsid w:val="11177F57"/>
    <w:rsid w:val="11217C97"/>
    <w:rsid w:val="11464C20"/>
    <w:rsid w:val="115E4926"/>
    <w:rsid w:val="118A1FFA"/>
    <w:rsid w:val="11E35B5A"/>
    <w:rsid w:val="11E42DD6"/>
    <w:rsid w:val="125F5A1B"/>
    <w:rsid w:val="126979D6"/>
    <w:rsid w:val="129E45A7"/>
    <w:rsid w:val="13074404"/>
    <w:rsid w:val="136A5C00"/>
    <w:rsid w:val="13B97B08"/>
    <w:rsid w:val="13C527AC"/>
    <w:rsid w:val="14711797"/>
    <w:rsid w:val="147B6F17"/>
    <w:rsid w:val="14D42061"/>
    <w:rsid w:val="15081C8B"/>
    <w:rsid w:val="15090D5C"/>
    <w:rsid w:val="15CF053D"/>
    <w:rsid w:val="15E0131A"/>
    <w:rsid w:val="15E11DC0"/>
    <w:rsid w:val="16457D9F"/>
    <w:rsid w:val="17223EFF"/>
    <w:rsid w:val="17AA5F28"/>
    <w:rsid w:val="17B713F6"/>
    <w:rsid w:val="184350A0"/>
    <w:rsid w:val="18935485"/>
    <w:rsid w:val="18A34206"/>
    <w:rsid w:val="18DE3B2C"/>
    <w:rsid w:val="1906685D"/>
    <w:rsid w:val="19111683"/>
    <w:rsid w:val="19353916"/>
    <w:rsid w:val="193E101D"/>
    <w:rsid w:val="19C10AF1"/>
    <w:rsid w:val="1A017CDA"/>
    <w:rsid w:val="1A2672DE"/>
    <w:rsid w:val="1AA81D42"/>
    <w:rsid w:val="1AB433D9"/>
    <w:rsid w:val="1AFB6D70"/>
    <w:rsid w:val="1B1B11EE"/>
    <w:rsid w:val="1B3719E0"/>
    <w:rsid w:val="1B6261C3"/>
    <w:rsid w:val="1B731730"/>
    <w:rsid w:val="1B882BB5"/>
    <w:rsid w:val="1B9B33C7"/>
    <w:rsid w:val="1B9D7FEC"/>
    <w:rsid w:val="1BA55461"/>
    <w:rsid w:val="1BE74496"/>
    <w:rsid w:val="1C3D67D1"/>
    <w:rsid w:val="1C40731A"/>
    <w:rsid w:val="1C506572"/>
    <w:rsid w:val="1C560392"/>
    <w:rsid w:val="1C581532"/>
    <w:rsid w:val="1C9F2E05"/>
    <w:rsid w:val="1CA15E03"/>
    <w:rsid w:val="1CA24F0C"/>
    <w:rsid w:val="1CF8716C"/>
    <w:rsid w:val="1D1638FE"/>
    <w:rsid w:val="1D1E545A"/>
    <w:rsid w:val="1D4B1F5B"/>
    <w:rsid w:val="1D6C5CA0"/>
    <w:rsid w:val="1D725586"/>
    <w:rsid w:val="1D745B4F"/>
    <w:rsid w:val="1D867987"/>
    <w:rsid w:val="1D944010"/>
    <w:rsid w:val="1DD70E85"/>
    <w:rsid w:val="1DE74AD7"/>
    <w:rsid w:val="1DF60A19"/>
    <w:rsid w:val="1DFA6713"/>
    <w:rsid w:val="1E050843"/>
    <w:rsid w:val="1E2D3FB0"/>
    <w:rsid w:val="1E2E50F1"/>
    <w:rsid w:val="1E3B4E26"/>
    <w:rsid w:val="1EDF707D"/>
    <w:rsid w:val="1F394761"/>
    <w:rsid w:val="1F65664C"/>
    <w:rsid w:val="1F7C149A"/>
    <w:rsid w:val="1F84140D"/>
    <w:rsid w:val="1F9B7FFD"/>
    <w:rsid w:val="1F9C7614"/>
    <w:rsid w:val="1FBE1971"/>
    <w:rsid w:val="2008768D"/>
    <w:rsid w:val="204B327F"/>
    <w:rsid w:val="204C2B10"/>
    <w:rsid w:val="207D30AD"/>
    <w:rsid w:val="209064B9"/>
    <w:rsid w:val="20970D81"/>
    <w:rsid w:val="20D165D5"/>
    <w:rsid w:val="210878E6"/>
    <w:rsid w:val="210E1408"/>
    <w:rsid w:val="211069AD"/>
    <w:rsid w:val="21573FAB"/>
    <w:rsid w:val="2172069C"/>
    <w:rsid w:val="21987BC4"/>
    <w:rsid w:val="21BE314A"/>
    <w:rsid w:val="220451AB"/>
    <w:rsid w:val="2237486E"/>
    <w:rsid w:val="223D1378"/>
    <w:rsid w:val="22451BC7"/>
    <w:rsid w:val="22940650"/>
    <w:rsid w:val="22AD4B1E"/>
    <w:rsid w:val="22C43743"/>
    <w:rsid w:val="22D31DF3"/>
    <w:rsid w:val="22FD3CF7"/>
    <w:rsid w:val="232C221B"/>
    <w:rsid w:val="2356249E"/>
    <w:rsid w:val="236E713A"/>
    <w:rsid w:val="23700968"/>
    <w:rsid w:val="237964B7"/>
    <w:rsid w:val="238761A6"/>
    <w:rsid w:val="23920578"/>
    <w:rsid w:val="23BB6F9A"/>
    <w:rsid w:val="23FC3864"/>
    <w:rsid w:val="24857B00"/>
    <w:rsid w:val="24F25212"/>
    <w:rsid w:val="251B0465"/>
    <w:rsid w:val="254B0AC6"/>
    <w:rsid w:val="25571AB6"/>
    <w:rsid w:val="25B40AD6"/>
    <w:rsid w:val="25BE7872"/>
    <w:rsid w:val="25BF702A"/>
    <w:rsid w:val="26390459"/>
    <w:rsid w:val="264D2D17"/>
    <w:rsid w:val="26D50E55"/>
    <w:rsid w:val="271A539C"/>
    <w:rsid w:val="273823FA"/>
    <w:rsid w:val="274972D4"/>
    <w:rsid w:val="27AA3D97"/>
    <w:rsid w:val="280A3758"/>
    <w:rsid w:val="28292E99"/>
    <w:rsid w:val="289057C5"/>
    <w:rsid w:val="28A67C7A"/>
    <w:rsid w:val="28EA3248"/>
    <w:rsid w:val="28F879DA"/>
    <w:rsid w:val="294B7731"/>
    <w:rsid w:val="29514455"/>
    <w:rsid w:val="29D21FF2"/>
    <w:rsid w:val="2A611B0F"/>
    <w:rsid w:val="2AC1762B"/>
    <w:rsid w:val="2AE845D0"/>
    <w:rsid w:val="2B4975FB"/>
    <w:rsid w:val="2B695031"/>
    <w:rsid w:val="2B735A8F"/>
    <w:rsid w:val="2BA7478D"/>
    <w:rsid w:val="2BB038DB"/>
    <w:rsid w:val="2BB761E0"/>
    <w:rsid w:val="2BB812F9"/>
    <w:rsid w:val="2BE35C27"/>
    <w:rsid w:val="2BFA504B"/>
    <w:rsid w:val="2C681F1F"/>
    <w:rsid w:val="2C8608DC"/>
    <w:rsid w:val="2CA4764A"/>
    <w:rsid w:val="2CC42ECA"/>
    <w:rsid w:val="2CDA4349"/>
    <w:rsid w:val="2D225539"/>
    <w:rsid w:val="2D4618D2"/>
    <w:rsid w:val="2D5F021B"/>
    <w:rsid w:val="2D6E1286"/>
    <w:rsid w:val="2D70583E"/>
    <w:rsid w:val="2E0725DC"/>
    <w:rsid w:val="2E1B4BB8"/>
    <w:rsid w:val="2E256CB6"/>
    <w:rsid w:val="2E5F27E4"/>
    <w:rsid w:val="2EBD223E"/>
    <w:rsid w:val="2EC10AD1"/>
    <w:rsid w:val="2ECB6A5A"/>
    <w:rsid w:val="2EE65418"/>
    <w:rsid w:val="2EFC0112"/>
    <w:rsid w:val="2F0F6197"/>
    <w:rsid w:val="2F2B730D"/>
    <w:rsid w:val="2F9F3DC1"/>
    <w:rsid w:val="2FFC7AC2"/>
    <w:rsid w:val="301430AF"/>
    <w:rsid w:val="30630612"/>
    <w:rsid w:val="308E59B0"/>
    <w:rsid w:val="30B10568"/>
    <w:rsid w:val="30E55DD3"/>
    <w:rsid w:val="30E60399"/>
    <w:rsid w:val="31356AA5"/>
    <w:rsid w:val="313E22F0"/>
    <w:rsid w:val="31B0194C"/>
    <w:rsid w:val="31CE17D1"/>
    <w:rsid w:val="32270449"/>
    <w:rsid w:val="323E4515"/>
    <w:rsid w:val="3286389B"/>
    <w:rsid w:val="32994FDB"/>
    <w:rsid w:val="32CF5C94"/>
    <w:rsid w:val="32D337C7"/>
    <w:rsid w:val="32E200EC"/>
    <w:rsid w:val="32E5408B"/>
    <w:rsid w:val="32EB0D70"/>
    <w:rsid w:val="332824BC"/>
    <w:rsid w:val="332868BB"/>
    <w:rsid w:val="333211F3"/>
    <w:rsid w:val="33504B41"/>
    <w:rsid w:val="338B4A07"/>
    <w:rsid w:val="33944811"/>
    <w:rsid w:val="33CE0488"/>
    <w:rsid w:val="341D31EE"/>
    <w:rsid w:val="34262463"/>
    <w:rsid w:val="34296F31"/>
    <w:rsid w:val="34340A27"/>
    <w:rsid w:val="346A2989"/>
    <w:rsid w:val="348865E9"/>
    <w:rsid w:val="348F70D5"/>
    <w:rsid w:val="349D2BAD"/>
    <w:rsid w:val="34B25886"/>
    <w:rsid w:val="35277FF8"/>
    <w:rsid w:val="35763460"/>
    <w:rsid w:val="35776F72"/>
    <w:rsid w:val="35997371"/>
    <w:rsid w:val="35DD4D47"/>
    <w:rsid w:val="360134DF"/>
    <w:rsid w:val="360B1E2F"/>
    <w:rsid w:val="360D500F"/>
    <w:rsid w:val="36330424"/>
    <w:rsid w:val="36FE3ABA"/>
    <w:rsid w:val="37072BDE"/>
    <w:rsid w:val="37455334"/>
    <w:rsid w:val="37527C32"/>
    <w:rsid w:val="37731921"/>
    <w:rsid w:val="37E509C0"/>
    <w:rsid w:val="37E96FB8"/>
    <w:rsid w:val="38222D85"/>
    <w:rsid w:val="38803721"/>
    <w:rsid w:val="38925A62"/>
    <w:rsid w:val="389F5F4F"/>
    <w:rsid w:val="38C36BA2"/>
    <w:rsid w:val="38E11CEF"/>
    <w:rsid w:val="38F6595C"/>
    <w:rsid w:val="391702A7"/>
    <w:rsid w:val="39286EB6"/>
    <w:rsid w:val="39601DF4"/>
    <w:rsid w:val="396960F3"/>
    <w:rsid w:val="39840D35"/>
    <w:rsid w:val="39A97DAF"/>
    <w:rsid w:val="39CD1330"/>
    <w:rsid w:val="39DD1AFF"/>
    <w:rsid w:val="3A2510B9"/>
    <w:rsid w:val="3A2B1DFC"/>
    <w:rsid w:val="3AA6422C"/>
    <w:rsid w:val="3AAF46D5"/>
    <w:rsid w:val="3AF562AE"/>
    <w:rsid w:val="3B135A0E"/>
    <w:rsid w:val="3B272BBC"/>
    <w:rsid w:val="3B374FEE"/>
    <w:rsid w:val="3B4410EE"/>
    <w:rsid w:val="3B56159C"/>
    <w:rsid w:val="3B596DF7"/>
    <w:rsid w:val="3B7D732B"/>
    <w:rsid w:val="3BD30423"/>
    <w:rsid w:val="3C6C0B58"/>
    <w:rsid w:val="3CBE41D5"/>
    <w:rsid w:val="3D446B0E"/>
    <w:rsid w:val="3D745844"/>
    <w:rsid w:val="3D8626D0"/>
    <w:rsid w:val="3D953A6B"/>
    <w:rsid w:val="3DBB5979"/>
    <w:rsid w:val="3DD56F21"/>
    <w:rsid w:val="3DEF6699"/>
    <w:rsid w:val="3E1057AF"/>
    <w:rsid w:val="3E6C0DFA"/>
    <w:rsid w:val="3E740322"/>
    <w:rsid w:val="3E7F4380"/>
    <w:rsid w:val="3E8D171B"/>
    <w:rsid w:val="3EA5630D"/>
    <w:rsid w:val="3EBA731B"/>
    <w:rsid w:val="3EE33949"/>
    <w:rsid w:val="3EFB5800"/>
    <w:rsid w:val="3F3B4E59"/>
    <w:rsid w:val="3F6E677C"/>
    <w:rsid w:val="3F712F46"/>
    <w:rsid w:val="3FBC0EF7"/>
    <w:rsid w:val="3FCD2AB9"/>
    <w:rsid w:val="3FD17600"/>
    <w:rsid w:val="402E7C36"/>
    <w:rsid w:val="4050218A"/>
    <w:rsid w:val="405C7868"/>
    <w:rsid w:val="408B24EB"/>
    <w:rsid w:val="408D1DBF"/>
    <w:rsid w:val="40C652D1"/>
    <w:rsid w:val="417044B8"/>
    <w:rsid w:val="41A203A0"/>
    <w:rsid w:val="41A25D3E"/>
    <w:rsid w:val="41C77987"/>
    <w:rsid w:val="41E83F8C"/>
    <w:rsid w:val="422D1842"/>
    <w:rsid w:val="425B7C31"/>
    <w:rsid w:val="427D66D0"/>
    <w:rsid w:val="42BC7E02"/>
    <w:rsid w:val="42C82575"/>
    <w:rsid w:val="43022EE1"/>
    <w:rsid w:val="431A5F8F"/>
    <w:rsid w:val="431F247A"/>
    <w:rsid w:val="43335E8F"/>
    <w:rsid w:val="433F2968"/>
    <w:rsid w:val="43655F7F"/>
    <w:rsid w:val="43676E20"/>
    <w:rsid w:val="43A31040"/>
    <w:rsid w:val="43BF774E"/>
    <w:rsid w:val="43CD062F"/>
    <w:rsid w:val="43E214F9"/>
    <w:rsid w:val="43F06264"/>
    <w:rsid w:val="44404C8E"/>
    <w:rsid w:val="447537F1"/>
    <w:rsid w:val="44870D07"/>
    <w:rsid w:val="44D33826"/>
    <w:rsid w:val="45344EFF"/>
    <w:rsid w:val="45513D03"/>
    <w:rsid w:val="45541E1C"/>
    <w:rsid w:val="45FE7734"/>
    <w:rsid w:val="461F0A8B"/>
    <w:rsid w:val="4648721E"/>
    <w:rsid w:val="46663E71"/>
    <w:rsid w:val="466A37AC"/>
    <w:rsid w:val="468A1A00"/>
    <w:rsid w:val="46CB071B"/>
    <w:rsid w:val="46DE140B"/>
    <w:rsid w:val="46E77334"/>
    <w:rsid w:val="46F22E29"/>
    <w:rsid w:val="46F7142F"/>
    <w:rsid w:val="47107AE3"/>
    <w:rsid w:val="473C62ED"/>
    <w:rsid w:val="47617242"/>
    <w:rsid w:val="478C16C9"/>
    <w:rsid w:val="47BD246B"/>
    <w:rsid w:val="47CB2B0C"/>
    <w:rsid w:val="47E773CE"/>
    <w:rsid w:val="47EE2C9A"/>
    <w:rsid w:val="47F00499"/>
    <w:rsid w:val="48015FF5"/>
    <w:rsid w:val="483820D2"/>
    <w:rsid w:val="48692CD0"/>
    <w:rsid w:val="48AE3D01"/>
    <w:rsid w:val="48B96318"/>
    <w:rsid w:val="49067B2F"/>
    <w:rsid w:val="49677E31"/>
    <w:rsid w:val="496C2225"/>
    <w:rsid w:val="49A35E02"/>
    <w:rsid w:val="49AE2880"/>
    <w:rsid w:val="49F42EAF"/>
    <w:rsid w:val="4A337323"/>
    <w:rsid w:val="4A5B28DC"/>
    <w:rsid w:val="4AA06B93"/>
    <w:rsid w:val="4ADB18EB"/>
    <w:rsid w:val="4B3A6FE7"/>
    <w:rsid w:val="4B96118E"/>
    <w:rsid w:val="4BAE1B66"/>
    <w:rsid w:val="4BC806E6"/>
    <w:rsid w:val="4BED4708"/>
    <w:rsid w:val="4BF133DC"/>
    <w:rsid w:val="4C2E4987"/>
    <w:rsid w:val="4C4117A4"/>
    <w:rsid w:val="4C507D4A"/>
    <w:rsid w:val="4CDF5563"/>
    <w:rsid w:val="4CFB2214"/>
    <w:rsid w:val="4D2C4D26"/>
    <w:rsid w:val="4D335E0E"/>
    <w:rsid w:val="4D4E4EA3"/>
    <w:rsid w:val="4D9A5B1B"/>
    <w:rsid w:val="4DA55D85"/>
    <w:rsid w:val="4DBB20DB"/>
    <w:rsid w:val="4DDC3F22"/>
    <w:rsid w:val="4DE66FB2"/>
    <w:rsid w:val="4DEC6CB8"/>
    <w:rsid w:val="4E1040C7"/>
    <w:rsid w:val="4E1760BF"/>
    <w:rsid w:val="4E30647F"/>
    <w:rsid w:val="4EBA03C3"/>
    <w:rsid w:val="4EBC5459"/>
    <w:rsid w:val="4ED94CB0"/>
    <w:rsid w:val="4EEC2ED3"/>
    <w:rsid w:val="4F0E56EA"/>
    <w:rsid w:val="4F2E11BC"/>
    <w:rsid w:val="4F3C4343"/>
    <w:rsid w:val="4F416688"/>
    <w:rsid w:val="4F5620B0"/>
    <w:rsid w:val="4F616EB4"/>
    <w:rsid w:val="4F6654EE"/>
    <w:rsid w:val="4F7379C6"/>
    <w:rsid w:val="4F872BDB"/>
    <w:rsid w:val="4FA033E9"/>
    <w:rsid w:val="4FA743DA"/>
    <w:rsid w:val="4FB3565A"/>
    <w:rsid w:val="4FC4714D"/>
    <w:rsid w:val="503D1C79"/>
    <w:rsid w:val="507A6406"/>
    <w:rsid w:val="50853863"/>
    <w:rsid w:val="508A4590"/>
    <w:rsid w:val="50F1461D"/>
    <w:rsid w:val="50FE5411"/>
    <w:rsid w:val="510B072E"/>
    <w:rsid w:val="511B0BF4"/>
    <w:rsid w:val="51264306"/>
    <w:rsid w:val="514E62C9"/>
    <w:rsid w:val="516123CE"/>
    <w:rsid w:val="51932FAD"/>
    <w:rsid w:val="51B177A9"/>
    <w:rsid w:val="51E066EB"/>
    <w:rsid w:val="52640E8B"/>
    <w:rsid w:val="5267570A"/>
    <w:rsid w:val="52707792"/>
    <w:rsid w:val="52A12CDC"/>
    <w:rsid w:val="52DF0C92"/>
    <w:rsid w:val="52E1159C"/>
    <w:rsid w:val="52E34D6A"/>
    <w:rsid w:val="531E524E"/>
    <w:rsid w:val="534072EB"/>
    <w:rsid w:val="537648BE"/>
    <w:rsid w:val="538E2D0B"/>
    <w:rsid w:val="53922782"/>
    <w:rsid w:val="539C1424"/>
    <w:rsid w:val="53A639C0"/>
    <w:rsid w:val="53F00A24"/>
    <w:rsid w:val="53F63DBA"/>
    <w:rsid w:val="5448624E"/>
    <w:rsid w:val="546E2B1A"/>
    <w:rsid w:val="5482555F"/>
    <w:rsid w:val="54A31DD8"/>
    <w:rsid w:val="54AA6F8B"/>
    <w:rsid w:val="54D26583"/>
    <w:rsid w:val="55363E67"/>
    <w:rsid w:val="556E6DF7"/>
    <w:rsid w:val="55965CE3"/>
    <w:rsid w:val="559D47CE"/>
    <w:rsid w:val="55BE1959"/>
    <w:rsid w:val="56232437"/>
    <w:rsid w:val="56541A75"/>
    <w:rsid w:val="568832FC"/>
    <w:rsid w:val="568C4181"/>
    <w:rsid w:val="570725A9"/>
    <w:rsid w:val="5714693E"/>
    <w:rsid w:val="571D0C9C"/>
    <w:rsid w:val="573A16CE"/>
    <w:rsid w:val="579C7F80"/>
    <w:rsid w:val="57B30D7C"/>
    <w:rsid w:val="58166B03"/>
    <w:rsid w:val="583E3C94"/>
    <w:rsid w:val="58721734"/>
    <w:rsid w:val="58900246"/>
    <w:rsid w:val="58977358"/>
    <w:rsid w:val="58D53944"/>
    <w:rsid w:val="58D65478"/>
    <w:rsid w:val="58F52487"/>
    <w:rsid w:val="590422E6"/>
    <w:rsid w:val="592257E5"/>
    <w:rsid w:val="59655E33"/>
    <w:rsid w:val="59CF5BD9"/>
    <w:rsid w:val="59E20C3C"/>
    <w:rsid w:val="5A1D5B0A"/>
    <w:rsid w:val="5A3B4B4E"/>
    <w:rsid w:val="5A4804CA"/>
    <w:rsid w:val="5A594C85"/>
    <w:rsid w:val="5A8842AA"/>
    <w:rsid w:val="5AEB1E3C"/>
    <w:rsid w:val="5B2507CA"/>
    <w:rsid w:val="5B2A474A"/>
    <w:rsid w:val="5B2D237E"/>
    <w:rsid w:val="5B830730"/>
    <w:rsid w:val="5BBB2DD6"/>
    <w:rsid w:val="5BE263B6"/>
    <w:rsid w:val="5C8E5C5A"/>
    <w:rsid w:val="5C965E61"/>
    <w:rsid w:val="5CF0089C"/>
    <w:rsid w:val="5CF5796F"/>
    <w:rsid w:val="5D242A11"/>
    <w:rsid w:val="5D9217C2"/>
    <w:rsid w:val="5DAD06BF"/>
    <w:rsid w:val="5DC92CE9"/>
    <w:rsid w:val="5DE23CB3"/>
    <w:rsid w:val="5DE97EEC"/>
    <w:rsid w:val="5DFA5EB0"/>
    <w:rsid w:val="5E000E4D"/>
    <w:rsid w:val="5E0B583E"/>
    <w:rsid w:val="5E201A7B"/>
    <w:rsid w:val="5EA45884"/>
    <w:rsid w:val="5EBD0484"/>
    <w:rsid w:val="5F2C5C7C"/>
    <w:rsid w:val="5F36141C"/>
    <w:rsid w:val="5FC5273F"/>
    <w:rsid w:val="604F6C39"/>
    <w:rsid w:val="60806DF2"/>
    <w:rsid w:val="61072DA5"/>
    <w:rsid w:val="611C0817"/>
    <w:rsid w:val="61224A52"/>
    <w:rsid w:val="61520CCB"/>
    <w:rsid w:val="61851A29"/>
    <w:rsid w:val="622D1522"/>
    <w:rsid w:val="622E0574"/>
    <w:rsid w:val="62683B6B"/>
    <w:rsid w:val="6275761C"/>
    <w:rsid w:val="62816E52"/>
    <w:rsid w:val="62AB7BE6"/>
    <w:rsid w:val="62AC5944"/>
    <w:rsid w:val="632F3F8A"/>
    <w:rsid w:val="63716241"/>
    <w:rsid w:val="637279B4"/>
    <w:rsid w:val="63817D2B"/>
    <w:rsid w:val="63BD1FA9"/>
    <w:rsid w:val="63D175D1"/>
    <w:rsid w:val="63D27965"/>
    <w:rsid w:val="63F4667E"/>
    <w:rsid w:val="64095516"/>
    <w:rsid w:val="641A2468"/>
    <w:rsid w:val="64372F20"/>
    <w:rsid w:val="648944D0"/>
    <w:rsid w:val="64DC72D7"/>
    <w:rsid w:val="64FA42B4"/>
    <w:rsid w:val="653619A6"/>
    <w:rsid w:val="65610A02"/>
    <w:rsid w:val="65A11EA3"/>
    <w:rsid w:val="65AC3D66"/>
    <w:rsid w:val="65BB5334"/>
    <w:rsid w:val="663E1DBA"/>
    <w:rsid w:val="665D0213"/>
    <w:rsid w:val="668506C7"/>
    <w:rsid w:val="669E59F1"/>
    <w:rsid w:val="66A2024B"/>
    <w:rsid w:val="66CB5E2D"/>
    <w:rsid w:val="6704732B"/>
    <w:rsid w:val="670F6731"/>
    <w:rsid w:val="67585CB0"/>
    <w:rsid w:val="67770F0C"/>
    <w:rsid w:val="67B03535"/>
    <w:rsid w:val="68174F69"/>
    <w:rsid w:val="682C436A"/>
    <w:rsid w:val="68382778"/>
    <w:rsid w:val="68391F41"/>
    <w:rsid w:val="68436B8C"/>
    <w:rsid w:val="68797358"/>
    <w:rsid w:val="6884624F"/>
    <w:rsid w:val="68A519DF"/>
    <w:rsid w:val="68C4160B"/>
    <w:rsid w:val="68C41C30"/>
    <w:rsid w:val="68CF3BA4"/>
    <w:rsid w:val="69257FA7"/>
    <w:rsid w:val="693F26C7"/>
    <w:rsid w:val="697E12B2"/>
    <w:rsid w:val="69C8706D"/>
    <w:rsid w:val="6A0E3FB4"/>
    <w:rsid w:val="6A292754"/>
    <w:rsid w:val="6A5E3B28"/>
    <w:rsid w:val="6A6B1EBE"/>
    <w:rsid w:val="6A8F43F7"/>
    <w:rsid w:val="6AD625F3"/>
    <w:rsid w:val="6B7218BE"/>
    <w:rsid w:val="6B750BA9"/>
    <w:rsid w:val="6BB93285"/>
    <w:rsid w:val="6C0C698C"/>
    <w:rsid w:val="6C222401"/>
    <w:rsid w:val="6C56267F"/>
    <w:rsid w:val="6C826EF9"/>
    <w:rsid w:val="6CAE4C93"/>
    <w:rsid w:val="6CB14F16"/>
    <w:rsid w:val="6CEC2069"/>
    <w:rsid w:val="6D0B1869"/>
    <w:rsid w:val="6D65402D"/>
    <w:rsid w:val="6D683822"/>
    <w:rsid w:val="6D8D136C"/>
    <w:rsid w:val="6DBF2759"/>
    <w:rsid w:val="6DC96F36"/>
    <w:rsid w:val="6DFA3EBF"/>
    <w:rsid w:val="6E3E63D2"/>
    <w:rsid w:val="6E5F7BE6"/>
    <w:rsid w:val="6E6918C6"/>
    <w:rsid w:val="6EEB4AC4"/>
    <w:rsid w:val="6F212DD6"/>
    <w:rsid w:val="6F3B5912"/>
    <w:rsid w:val="6F932055"/>
    <w:rsid w:val="6FA14A81"/>
    <w:rsid w:val="6FA3261F"/>
    <w:rsid w:val="6FB44BAA"/>
    <w:rsid w:val="700D6539"/>
    <w:rsid w:val="704203E3"/>
    <w:rsid w:val="7058046B"/>
    <w:rsid w:val="707F2079"/>
    <w:rsid w:val="70922734"/>
    <w:rsid w:val="70CD16CB"/>
    <w:rsid w:val="70CE6DC7"/>
    <w:rsid w:val="710B3646"/>
    <w:rsid w:val="711759F2"/>
    <w:rsid w:val="713C4ED8"/>
    <w:rsid w:val="71407642"/>
    <w:rsid w:val="71641210"/>
    <w:rsid w:val="71D95B7C"/>
    <w:rsid w:val="71EA6A50"/>
    <w:rsid w:val="71FE31A8"/>
    <w:rsid w:val="720C30AE"/>
    <w:rsid w:val="721A7983"/>
    <w:rsid w:val="721F6113"/>
    <w:rsid w:val="7233782C"/>
    <w:rsid w:val="726A729D"/>
    <w:rsid w:val="73177841"/>
    <w:rsid w:val="733774FE"/>
    <w:rsid w:val="73617E1B"/>
    <w:rsid w:val="736D7653"/>
    <w:rsid w:val="738035CB"/>
    <w:rsid w:val="73852C46"/>
    <w:rsid w:val="7396335C"/>
    <w:rsid w:val="73F46595"/>
    <w:rsid w:val="73F47FAE"/>
    <w:rsid w:val="74283FA2"/>
    <w:rsid w:val="742C135B"/>
    <w:rsid w:val="74463733"/>
    <w:rsid w:val="748A2F40"/>
    <w:rsid w:val="74D84FF7"/>
    <w:rsid w:val="74F85778"/>
    <w:rsid w:val="75272439"/>
    <w:rsid w:val="758F1E9B"/>
    <w:rsid w:val="75CE266B"/>
    <w:rsid w:val="76120141"/>
    <w:rsid w:val="768216BE"/>
    <w:rsid w:val="76C23B43"/>
    <w:rsid w:val="76FD6F97"/>
    <w:rsid w:val="770218E8"/>
    <w:rsid w:val="779469CE"/>
    <w:rsid w:val="77C875A5"/>
    <w:rsid w:val="78A27DF6"/>
    <w:rsid w:val="79285B3A"/>
    <w:rsid w:val="79490B03"/>
    <w:rsid w:val="79625CA9"/>
    <w:rsid w:val="79A91196"/>
    <w:rsid w:val="7A0B32D3"/>
    <w:rsid w:val="7AC13CD3"/>
    <w:rsid w:val="7AE10264"/>
    <w:rsid w:val="7AE4248E"/>
    <w:rsid w:val="7B4A207F"/>
    <w:rsid w:val="7B936F45"/>
    <w:rsid w:val="7BA47419"/>
    <w:rsid w:val="7BB10D45"/>
    <w:rsid w:val="7BB44151"/>
    <w:rsid w:val="7C656A39"/>
    <w:rsid w:val="7CB93996"/>
    <w:rsid w:val="7CBE0F99"/>
    <w:rsid w:val="7D4E45F1"/>
    <w:rsid w:val="7DFB6D82"/>
    <w:rsid w:val="7E1D71D1"/>
    <w:rsid w:val="7E246254"/>
    <w:rsid w:val="7E553215"/>
    <w:rsid w:val="7E6D090F"/>
    <w:rsid w:val="7ECC66B2"/>
    <w:rsid w:val="7F2914C3"/>
    <w:rsid w:val="7F5F2ED6"/>
    <w:rsid w:val="7FA837EF"/>
    <w:rsid w:val="7FC36955"/>
    <w:rsid w:val="7FE903A0"/>
    <w:rsid w:val="7FF07065"/>
    <w:rsid w:val="7FF97946"/>
    <w:rsid w:val="7FFE7888"/>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color w:val="auto"/>
      <w:kern w:val="0"/>
      <w:sz w:val="24"/>
      <w:szCs w:val="24"/>
      <w:lang w:val="en-US" w:eastAsia="zh-CN" w:bidi="ar-SA"/>
    </w:rPr>
  </w:style>
  <w:style w:type="paragraph" w:styleId="2">
    <w:name w:val="heading 1"/>
    <w:basedOn w:val="1"/>
    <w:next w:val="1"/>
    <w:qFormat/>
    <w:uiPriority w:val="0"/>
    <w:pPr>
      <w:keepNext/>
      <w:keepLines/>
      <w:numPr>
        <w:ilvl w:val="0"/>
        <w:numId w:val="1"/>
      </w:numPr>
      <w:adjustRightInd w:val="0"/>
      <w:snapToGrid w:val="0"/>
      <w:spacing w:before="340" w:after="50" w:afterLines="50" w:line="578" w:lineRule="auto"/>
      <w:ind w:left="425" w:hanging="425"/>
      <w:jc w:val="left"/>
      <w:outlineLvl w:val="0"/>
    </w:pPr>
    <w:rPr>
      <w:rFonts w:ascii="Times New Roman" w:hAnsi="Times New Roman" w:eastAsia="仿宋" w:cs="Times New Roman"/>
      <w:b/>
      <w:bCs/>
      <w:kern w:val="44"/>
      <w:sz w:val="36"/>
      <w:szCs w:val="44"/>
    </w:rPr>
  </w:style>
  <w:style w:type="paragraph" w:styleId="3">
    <w:name w:val="heading 2"/>
    <w:basedOn w:val="1"/>
    <w:next w:val="1"/>
    <w:link w:val="18"/>
    <w:unhideWhenUsed/>
    <w:qFormat/>
    <w:uiPriority w:val="9"/>
    <w:pPr>
      <w:widowControl w:val="0"/>
      <w:numPr>
        <w:ilvl w:val="1"/>
        <w:numId w:val="1"/>
      </w:numPr>
      <w:spacing w:line="416" w:lineRule="auto"/>
      <w:ind w:left="567" w:hanging="567"/>
      <w:outlineLvl w:val="1"/>
    </w:pPr>
    <w:rPr>
      <w:rFonts w:ascii="Calibri Light" w:hAnsi="Calibri Light" w:eastAsia="宋体" w:cs="Times New Roman"/>
      <w:b/>
      <w:bCs/>
      <w:sz w:val="28"/>
      <w:szCs w:val="32"/>
    </w:rPr>
  </w:style>
  <w:style w:type="paragraph" w:styleId="4">
    <w:name w:val="heading 3"/>
    <w:basedOn w:val="1"/>
    <w:next w:val="1"/>
    <w:unhideWhenUsed/>
    <w:qFormat/>
    <w:uiPriority w:val="9"/>
    <w:pPr>
      <w:keepNext/>
      <w:keepLines/>
      <w:numPr>
        <w:ilvl w:val="2"/>
        <w:numId w:val="1"/>
      </w:numPr>
      <w:spacing w:before="50" w:beforeLines="50" w:after="50" w:afterLines="50" w:line="416" w:lineRule="auto"/>
      <w:outlineLvl w:val="2"/>
    </w:pPr>
    <w:rPr>
      <w:rFonts w:ascii="宋体" w:hAnsi="宋体" w:eastAsia="宋体" w:cs="宋体"/>
      <w:b/>
      <w:bCs/>
      <w:sz w:val="32"/>
    </w:rPr>
  </w:style>
  <w:style w:type="paragraph" w:styleId="5">
    <w:name w:val="heading 4"/>
    <w:basedOn w:val="1"/>
    <w:next w:val="1"/>
    <w:unhideWhenUsed/>
    <w:qFormat/>
    <w:uiPriority w:val="9"/>
    <w:pPr>
      <w:keepNext/>
      <w:keepLines/>
      <w:numPr>
        <w:ilvl w:val="3"/>
        <w:numId w:val="1"/>
      </w:numPr>
      <w:spacing w:before="120" w:after="120"/>
      <w:outlineLvl w:val="3"/>
    </w:pPr>
    <w:rPr>
      <w:rFonts w:ascii="Calibri Light" w:hAnsi="Calibri Light" w:eastAsia="宋体" w:cs="Times New Roman"/>
      <w:b/>
      <w:bCs/>
      <w:sz w:val="28"/>
      <w:szCs w:val="28"/>
    </w:rPr>
  </w:style>
  <w:style w:type="character" w:default="1" w:styleId="14">
    <w:name w:val="Default Paragraph Font"/>
    <w:unhideWhenUsed/>
    <w:qFormat/>
    <w:uiPriority w:val="1"/>
  </w:style>
  <w:style w:type="table" w:default="1" w:styleId="16">
    <w:name w:val="Normal Table"/>
    <w:unhideWhenUsed/>
    <w:qFormat/>
    <w:uiPriority w:val="99"/>
    <w:tblPr>
      <w:tblLayout w:type="fixed"/>
      <w:tblCellMar>
        <w:top w:w="0" w:type="dxa"/>
        <w:left w:w="108" w:type="dxa"/>
        <w:bottom w:w="0" w:type="dxa"/>
        <w:right w:w="108" w:type="dxa"/>
      </w:tblCellMar>
    </w:tblPr>
  </w:style>
  <w:style w:type="paragraph" w:styleId="6">
    <w:name w:val="annotation text"/>
    <w:basedOn w:val="1"/>
    <w:unhideWhenUsed/>
    <w:qFormat/>
    <w:uiPriority w:val="99"/>
    <w:pPr>
      <w:jc w:val="left"/>
    </w:pPr>
  </w:style>
  <w:style w:type="paragraph" w:styleId="7">
    <w:name w:val="Body Text Indent"/>
    <w:basedOn w:val="1"/>
    <w:next w:val="1"/>
    <w:unhideWhenUsed/>
    <w:qFormat/>
    <w:uiPriority w:val="99"/>
    <w:pPr>
      <w:spacing w:after="120"/>
      <w:ind w:left="420" w:leftChars="200"/>
    </w:pPr>
  </w:style>
  <w:style w:type="paragraph" w:styleId="8">
    <w:name w:val="Balloon Text"/>
    <w:basedOn w:val="1"/>
    <w:link w:val="27"/>
    <w:unhideWhenUsed/>
    <w:qFormat/>
    <w:uiPriority w:val="99"/>
    <w:rPr>
      <w:rFonts w:cstheme="minorBidi"/>
      <w:kern w:val="2"/>
      <w:sz w:val="18"/>
      <w:szCs w:val="18"/>
    </w:rPr>
  </w:style>
  <w:style w:type="paragraph" w:styleId="9">
    <w:name w:val="footer"/>
    <w:basedOn w:val="1"/>
    <w:link w:val="19"/>
    <w:qFormat/>
    <w:uiPriority w:val="99"/>
    <w:pPr>
      <w:tabs>
        <w:tab w:val="center" w:pos="4153"/>
        <w:tab w:val="right" w:pos="8306"/>
      </w:tabs>
      <w:snapToGrid w:val="0"/>
      <w:jc w:val="left"/>
    </w:pPr>
    <w:rPr>
      <w:rFonts w:cstheme="minorBidi"/>
      <w:kern w:val="2"/>
      <w:sz w:val="18"/>
      <w:szCs w:val="18"/>
    </w:rPr>
  </w:style>
  <w:style w:type="paragraph" w:styleId="10">
    <w:name w:val="Body Text First Indent 2"/>
    <w:basedOn w:val="7"/>
    <w:next w:val="1"/>
    <w:unhideWhenUsed/>
    <w:qFormat/>
    <w:uiPriority w:val="99"/>
    <w:pPr>
      <w:spacing w:after="0"/>
      <w:ind w:left="0" w:leftChars="0" w:firstLine="420" w:firstLineChars="200"/>
    </w:pPr>
    <w:rPr>
      <w:sz w:val="30"/>
      <w:szCs w:val="32"/>
    </w:rPr>
  </w:style>
  <w:style w:type="paragraph" w:styleId="11">
    <w:name w:val="header"/>
    <w:basedOn w:val="1"/>
    <w:link w:val="2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cstheme="minorBidi"/>
      <w:kern w:val="2"/>
      <w:sz w:val="18"/>
      <w:szCs w:val="18"/>
    </w:rPr>
  </w:style>
  <w:style w:type="paragraph" w:styleId="12">
    <w:name w:val="footnote text"/>
    <w:basedOn w:val="1"/>
    <w:next w:val="10"/>
    <w:unhideWhenUsed/>
    <w:qFormat/>
    <w:uiPriority w:val="99"/>
    <w:pPr>
      <w:snapToGrid w:val="0"/>
      <w:jc w:val="left"/>
    </w:pPr>
    <w:rPr>
      <w:rFonts w:ascii="Calibri" w:hAnsi="Calibri"/>
      <w:sz w:val="18"/>
      <w:szCs w:val="32"/>
    </w:rPr>
  </w:style>
  <w:style w:type="paragraph" w:styleId="13">
    <w:name w:val="Normal (Web)"/>
    <w:basedOn w:val="1"/>
    <w:unhideWhenUsed/>
    <w:qFormat/>
    <w:uiPriority w:val="99"/>
    <w:pPr>
      <w:spacing w:before="0" w:beforeAutospacing="1" w:after="0" w:afterAutospacing="1"/>
      <w:ind w:left="0" w:right="0"/>
      <w:jc w:val="left"/>
    </w:pPr>
    <w:rPr>
      <w:kern w:val="0"/>
      <w:sz w:val="24"/>
      <w:lang w:val="en-US" w:eastAsia="zh-CN" w:bidi="ar"/>
    </w:rPr>
  </w:style>
  <w:style w:type="character" w:styleId="15">
    <w:name w:val="Strong"/>
    <w:basedOn w:val="14"/>
    <w:qFormat/>
    <w:uiPriority w:val="22"/>
    <w:rPr>
      <w:b/>
    </w:rPr>
  </w:style>
  <w:style w:type="table" w:styleId="17">
    <w:name w:val="Table Grid"/>
    <w:qFormat/>
    <w:uiPriority w:val="0"/>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customStyle="1" w:styleId="18">
    <w:name w:val="标题 2 Char"/>
    <w:link w:val="3"/>
    <w:qFormat/>
    <w:uiPriority w:val="0"/>
    <w:rPr>
      <w:rFonts w:ascii="Calibri Light" w:hAnsi="Calibri Light" w:eastAsia="宋体" w:cs="Times New Roman"/>
      <w:b/>
      <w:bCs/>
      <w:sz w:val="28"/>
      <w:szCs w:val="32"/>
    </w:rPr>
  </w:style>
  <w:style w:type="character" w:customStyle="1" w:styleId="19">
    <w:name w:val="页脚 Char"/>
    <w:basedOn w:val="14"/>
    <w:link w:val="9"/>
    <w:qFormat/>
    <w:uiPriority w:val="99"/>
    <w:rPr>
      <w:rFonts w:asciiTheme="minorHAnsi" w:hAnsiTheme="minorHAnsi" w:eastAsiaTheme="minorEastAsia" w:cstheme="minorBidi"/>
      <w:sz w:val="18"/>
      <w:szCs w:val="18"/>
      <w:lang w:val="en-US" w:eastAsia="zh-CN" w:bidi="ar-SA"/>
    </w:rPr>
  </w:style>
  <w:style w:type="character" w:customStyle="1" w:styleId="20">
    <w:name w:val="页眉 Char"/>
    <w:basedOn w:val="14"/>
    <w:link w:val="11"/>
    <w:qFormat/>
    <w:uiPriority w:val="0"/>
    <w:rPr>
      <w:rFonts w:asciiTheme="minorHAnsi" w:hAnsiTheme="minorHAnsi" w:eastAsiaTheme="minorEastAsia" w:cstheme="minorBidi"/>
      <w:sz w:val="18"/>
      <w:szCs w:val="18"/>
      <w:lang w:val="en-US" w:eastAsia="zh-CN" w:bidi="ar-SA"/>
    </w:rPr>
  </w:style>
  <w:style w:type="character" w:customStyle="1" w:styleId="21">
    <w:name w:val="font11"/>
    <w:basedOn w:val="14"/>
    <w:qFormat/>
    <w:uiPriority w:val="0"/>
    <w:rPr>
      <w:rFonts w:hint="eastAsia" w:ascii="宋体" w:hAnsi="宋体" w:eastAsia="宋体" w:cs="宋体"/>
      <w:color w:val="000000"/>
      <w:sz w:val="20"/>
      <w:szCs w:val="20"/>
      <w:u w:val="none"/>
      <w:lang w:val="en-US" w:eastAsia="zh-CN" w:bidi="ar-SA"/>
    </w:rPr>
  </w:style>
  <w:style w:type="character" w:customStyle="1" w:styleId="22">
    <w:name w:val="font01"/>
    <w:basedOn w:val="14"/>
    <w:qFormat/>
    <w:uiPriority w:val="0"/>
    <w:rPr>
      <w:rFonts w:hint="eastAsia" w:ascii="宋体" w:hAnsi="宋体" w:eastAsia="宋体" w:cs="宋体"/>
      <w:color w:val="000000"/>
      <w:sz w:val="22"/>
      <w:szCs w:val="22"/>
      <w:u w:val="none"/>
      <w:lang w:val="en-US" w:eastAsia="zh-CN" w:bidi="ar-SA"/>
    </w:rPr>
  </w:style>
  <w:style w:type="character" w:customStyle="1" w:styleId="23">
    <w:name w:val="font41"/>
    <w:basedOn w:val="14"/>
    <w:qFormat/>
    <w:uiPriority w:val="0"/>
    <w:rPr>
      <w:rFonts w:hint="eastAsia" w:ascii="宋体" w:hAnsi="宋体" w:eastAsia="宋体" w:cs="宋体"/>
      <w:color w:val="000000"/>
      <w:sz w:val="24"/>
      <w:szCs w:val="24"/>
      <w:u w:val="none"/>
      <w:lang w:val="en-US" w:eastAsia="zh-CN" w:bidi="ar-SA"/>
    </w:rPr>
  </w:style>
  <w:style w:type="character" w:customStyle="1" w:styleId="24">
    <w:name w:val="font31"/>
    <w:basedOn w:val="14"/>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5">
    <w:name w:val="font91"/>
    <w:basedOn w:val="14"/>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6">
    <w:name w:val="font51"/>
    <w:basedOn w:val="14"/>
    <w:qFormat/>
    <w:uiPriority w:val="0"/>
    <w:rPr>
      <w:rFonts w:hint="eastAsia" w:ascii="宋体" w:hAnsi="宋体" w:eastAsia="宋体" w:cs="宋体"/>
      <w:color w:val="000000"/>
      <w:sz w:val="24"/>
      <w:szCs w:val="24"/>
      <w:u w:val="none"/>
      <w:lang w:val="en-US" w:eastAsia="zh-CN" w:bidi="ar-SA"/>
    </w:rPr>
  </w:style>
  <w:style w:type="character" w:customStyle="1" w:styleId="27">
    <w:name w:val="批注框文本 Char"/>
    <w:basedOn w:val="14"/>
    <w:link w:val="8"/>
    <w:semiHidden/>
    <w:qFormat/>
    <w:uiPriority w:val="99"/>
    <w:rPr>
      <w:rFonts w:asciiTheme="minorHAnsi" w:hAnsiTheme="minorHAnsi" w:eastAsiaTheme="minorEastAsia" w:cstheme="minorBidi"/>
      <w:sz w:val="18"/>
      <w:szCs w:val="18"/>
      <w:lang w:val="en-US" w:eastAsia="zh-CN" w:bidi="ar-SA"/>
    </w:rPr>
  </w:style>
  <w:style w:type="character" w:customStyle="1" w:styleId="28">
    <w:name w:val="font71"/>
    <w:basedOn w:val="14"/>
    <w:qFormat/>
    <w:uiPriority w:val="0"/>
    <w:rPr>
      <w:rFonts w:ascii="Calibri" w:hAnsi="Calibri" w:cs="Calibri"/>
      <w:color w:val="000000"/>
      <w:sz w:val="16"/>
      <w:szCs w:val="16"/>
      <w:u w:val="none"/>
    </w:rPr>
  </w:style>
  <w:style w:type="character" w:customStyle="1" w:styleId="29">
    <w:name w:val="font21"/>
    <w:basedOn w:val="14"/>
    <w:uiPriority w:val="0"/>
    <w:rPr>
      <w:rFonts w:hint="eastAsia" w:ascii="宋体" w:hAnsi="宋体" w:eastAsia="宋体" w:cs="宋体"/>
      <w:color w:val="000000"/>
      <w:sz w:val="16"/>
      <w:szCs w:val="16"/>
      <w:u w:val="none"/>
    </w:rPr>
  </w:style>
  <w:style w:type="character" w:customStyle="1" w:styleId="30">
    <w:name w:val="font61"/>
    <w:basedOn w:val="14"/>
    <w:qFormat/>
    <w:uiPriority w:val="0"/>
    <w:rPr>
      <w:rFonts w:ascii="Calibri" w:hAnsi="Calibri" w:cs="Calibri"/>
      <w:color w:val="000000"/>
      <w:sz w:val="16"/>
      <w:szCs w:val="16"/>
      <w:u w:val="none"/>
    </w:rPr>
  </w:style>
  <w:style w:type="character" w:customStyle="1" w:styleId="31">
    <w:name w:val="font81"/>
    <w:basedOn w:val="14"/>
    <w:qFormat/>
    <w:uiPriority w:val="0"/>
    <w:rPr>
      <w:rFonts w:ascii="Calibri" w:hAnsi="Calibri" w:cs="Calibri"/>
      <w:color w:val="000000"/>
      <w:sz w:val="16"/>
      <w:szCs w:val="16"/>
      <w:u w:val="none"/>
    </w:rPr>
  </w:style>
  <w:style w:type="character" w:customStyle="1" w:styleId="32">
    <w:name w:val="font112"/>
    <w:basedOn w:val="14"/>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1.jpe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4.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5.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6.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图 </a:t>
            </a:r>
            <a:r>
              <a:rPr lang="en-US" altLang="zh-CN"/>
              <a:t>1 </a:t>
            </a:r>
            <a:r>
              <a:rPr lang="zh-CN" altLang="en-US"/>
              <a:t>： </a:t>
            </a:r>
            <a:r>
              <a:rPr lang="en-US" altLang="zh-CN"/>
              <a:t>2023-2024</a:t>
            </a:r>
            <a:r>
              <a:rPr lang="zh-CN" altLang="en-US"/>
              <a:t>年收支总计对比图（万元）</a:t>
            </a:r>
            <a:endParaRPr lang="zh-CN" altLang="en-US"/>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收支总计</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2023年</c:v>
                </c:pt>
                <c:pt idx="1">
                  <c:v>2024年</c:v>
                </c:pt>
              </c:strCache>
            </c:strRef>
          </c:cat>
          <c:val>
            <c:numRef>
              <c:f>Sheet1!$B$2:$B$3</c:f>
              <c:numCache>
                <c:formatCode>General</c:formatCode>
                <c:ptCount val="2"/>
                <c:pt idx="0" c:formatCode="General">
                  <c:v>5860.54</c:v>
                </c:pt>
                <c:pt idx="1" c:formatCode="General">
                  <c:v>5103.64</c:v>
                </c:pt>
              </c:numCache>
            </c:numRef>
          </c:val>
        </c:ser>
        <c:dLbls>
          <c:showLegendKey val="0"/>
          <c:showVal val="1"/>
          <c:showCatName val="0"/>
          <c:showSerName val="0"/>
          <c:showPercent val="0"/>
          <c:showBubbleSize val="0"/>
        </c:dLbls>
        <c:gapWidth val="246"/>
        <c:overlap val="-28"/>
        <c:axId val="817088452"/>
        <c:axId val="587069473"/>
      </c:barChart>
      <c:catAx>
        <c:axId val="817088452"/>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87069473"/>
        <c:crosses val="autoZero"/>
        <c:auto val="1"/>
        <c:lblAlgn val="ctr"/>
        <c:lblOffset val="100"/>
        <c:noMultiLvlLbl val="0"/>
      </c:catAx>
      <c:valAx>
        <c:axId val="587069473"/>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1708845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图 </a:t>
            </a:r>
            <a:r>
              <a:rPr lang="en-US" altLang="zh-CN"/>
              <a:t>2 </a:t>
            </a:r>
            <a:r>
              <a:rPr lang="zh-CN" altLang="en-US"/>
              <a:t>：收入决算构成情况图</a:t>
            </a:r>
            <a:endParaRPr lang="zh-CN" altLang="en-US"/>
          </a:p>
        </c:rich>
      </c:tx>
      <c:layout/>
      <c:overlay val="0"/>
      <c:spPr>
        <a:noFill/>
        <a:ln>
          <a:noFill/>
        </a:ln>
        <a:effectLst/>
      </c:spPr>
    </c:title>
    <c:autoTitleDeleted val="0"/>
    <c:plotArea>
      <c:layout/>
      <c:pieChart>
        <c:varyColors val="1"/>
        <c:ser>
          <c:idx val="0"/>
          <c:order val="0"/>
          <c:tx>
            <c:strRef>
              <c:f>Sheet1!$B$1</c:f>
              <c:strCache>
                <c:ptCount val="1"/>
                <c:pt idx="0">
                  <c:v>金额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Lbls>
            <c:dLbl>
              <c:idx val="0"/>
              <c:layout>
                <c:manualLayout>
                  <c:x val="0.320125539403024"/>
                  <c:y val="0.726907139821478"/>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308045516407558"/>
                  <c:y val="0.639146833829128"/>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405411836540074"/>
                  <c:y val="0.171855078623054"/>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manualLayout>
                      <c:w val="0.19545300797294"/>
                      <c:h val="0.137059073523162"/>
                    </c:manualLayout>
                  </c15:layout>
                </c:ext>
              </c:extLst>
            </c:dLbl>
            <c:dLbl>
              <c:idx val="3"/>
              <c:layout>
                <c:manualLayout>
                  <c:x val="-0.286905148238858"/>
                  <c:y val="0.270250743731381"/>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manualLayout>
                      <c:w val="0.19545300797294"/>
                      <c:h val="0.110709732256694"/>
                    </c:manualLayout>
                  </c15:layout>
                </c:ext>
              </c:extLst>
            </c:dLbl>
            <c:dLbl>
              <c:idx val="4"/>
              <c:layout>
                <c:manualLayout>
                  <c:x val="-0.298985360795255"/>
                  <c:y val="0.449160645983869"/>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manualLayout>
                      <c:w val="0.195211403720706"/>
                      <c:h val="0.154908627284318"/>
                    </c:manualLayout>
                  </c15:layout>
                </c:ext>
              </c:extLst>
            </c:dLbl>
            <c:dLbl>
              <c:idx val="5"/>
              <c:layout>
                <c:manualLayout>
                  <c:x val="-0.288475575878384"/>
                  <c:y val="0.124165958351015"/>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manualLayout>
                      <c:w val="0.19545300797294"/>
                      <c:h val="0.110922226944326"/>
                    </c:manualLayout>
                  </c15:layout>
                </c:ext>
              </c:extLst>
            </c:dLbl>
            <c:numFmt formatCode="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ctr"/>
            <c:showLegendKey val="1"/>
            <c:showVal val="0"/>
            <c:showCatName val="1"/>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财政拨款收入</c:v>
                </c:pt>
                <c:pt idx="1">
                  <c:v>上级补助收入</c:v>
                </c:pt>
                <c:pt idx="2">
                  <c:v>事业收入</c:v>
                </c:pt>
                <c:pt idx="3">
                  <c:v>经营收入</c:v>
                </c:pt>
                <c:pt idx="4">
                  <c:v>附属单位上缴收入</c:v>
                </c:pt>
                <c:pt idx="5">
                  <c:v>其他收入</c:v>
                </c:pt>
              </c:strCache>
            </c:strRef>
          </c:cat>
          <c:val>
            <c:numRef>
              <c:f>Sheet1!$B$2:$B$7</c:f>
              <c:numCache>
                <c:formatCode>General</c:formatCode>
                <c:ptCount val="6"/>
                <c:pt idx="0" c:formatCode="General">
                  <c:v>48423300.86</c:v>
                </c:pt>
                <c:pt idx="1" c:formatCode="General">
                  <c:v>0</c:v>
                </c:pt>
                <c:pt idx="2" c:formatCode="General">
                  <c:v>0</c:v>
                </c:pt>
                <c:pt idx="3" c:formatCode="General">
                  <c:v>0</c:v>
                </c:pt>
                <c:pt idx="4" c:formatCode="General">
                  <c:v>0</c:v>
                </c:pt>
                <c:pt idx="5" c:formatCode="General">
                  <c:v>390000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chemeClr val="tx1">
                    <a:lumMod val="75000"/>
                    <a:lumOff val="25000"/>
                  </a:schemeClr>
                </a:solidFill>
                <a:latin typeface="+mn-lt"/>
                <a:ea typeface="+mn-ea"/>
                <a:cs typeface="+mn-cs"/>
              </a:defRPr>
            </a:pPr>
            <a:r>
              <a:rPr lang="zh-CN" altLang="en-US" b="1"/>
              <a:t>图 </a:t>
            </a:r>
            <a:r>
              <a:rPr lang="en-US" altLang="zh-CN" b="1"/>
              <a:t>3 </a:t>
            </a:r>
            <a:r>
              <a:rPr lang="zh-CN" altLang="en-US" b="1"/>
              <a:t>：支出决算构成情况图</a:t>
            </a:r>
            <a:endParaRPr lang="zh-CN" altLang="en-US" b="1"/>
          </a:p>
        </c:rich>
      </c:tx>
      <c:layout/>
      <c:overlay val="0"/>
      <c:spPr>
        <a:noFill/>
        <a:ln>
          <a:noFill/>
        </a:ln>
        <a:effectLst/>
      </c:spPr>
    </c:title>
    <c:autoTitleDeleted val="0"/>
    <c:plotArea>
      <c:layout/>
      <c:pieChart>
        <c:varyColors val="1"/>
        <c:ser>
          <c:idx val="0"/>
          <c:order val="0"/>
          <c:tx>
            <c:strRef>
              <c:f>Sheet1!$B$1</c:f>
              <c:strCache>
                <c:ptCount val="1"/>
                <c:pt idx="0">
                  <c:v>金额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Lbls>
            <c:dLbl>
              <c:idx val="0"/>
              <c:layout>
                <c:manualLayout>
                  <c:x val="0.346218893452525"/>
                  <c:y val="0.715469613259669"/>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357095916888137"/>
                  <c:y val="0.097938376540627"/>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292703551582508"/>
                  <c:y val="0.266893327666808"/>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dLbl>
              <c:idx val="3"/>
              <c:layout>
                <c:manualLayout>
                  <c:x val="-0.315235684561946"/>
                  <c:y val="0.468316617084613"/>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dLbl>
              <c:idx val="4"/>
              <c:layout>
                <c:manualLayout>
                  <c:x val="-0.273558967655045"/>
                  <c:y val="0.718210369740799"/>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numFmt formatCode="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1"/>
            <c:showVal val="0"/>
            <c:showCatName val="1"/>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基本支出</c:v>
                </c:pt>
                <c:pt idx="1">
                  <c:v>项目支出</c:v>
                </c:pt>
                <c:pt idx="2">
                  <c:v>上缴上级支出</c:v>
                </c:pt>
                <c:pt idx="3">
                  <c:v>经营支出</c:v>
                </c:pt>
                <c:pt idx="4">
                  <c:v>对附属单位补助支出</c:v>
                </c:pt>
              </c:strCache>
            </c:strRef>
          </c:cat>
          <c:val>
            <c:numRef>
              <c:f>Sheet1!$B$2:$B$6</c:f>
              <c:numCache>
                <c:formatCode>General</c:formatCode>
                <c:ptCount val="5"/>
                <c:pt idx="0" c:formatCode="General">
                  <c:v>38966209.17</c:v>
                </c:pt>
                <c:pt idx="1" c:formatCode="General">
                  <c:v>10366996.9</c:v>
                </c:pt>
                <c:pt idx="2" c:formatCode="General">
                  <c:v>0</c:v>
                </c:pt>
                <c:pt idx="3" c:formatCode="General">
                  <c:v>0</c:v>
                </c:pt>
                <c:pt idx="4" c:formatCode="General">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图 </a:t>
            </a:r>
            <a:r>
              <a:rPr lang="en-US" altLang="zh-CN"/>
              <a:t>4 </a:t>
            </a:r>
            <a:r>
              <a:rPr lang="zh-CN" altLang="en-US"/>
              <a:t>：</a:t>
            </a:r>
            <a:r>
              <a:rPr lang="en-US" altLang="zh-CN"/>
              <a:t>2023-2024</a:t>
            </a:r>
            <a:r>
              <a:rPr lang="zh-CN" altLang="en-US"/>
              <a:t>年财政拨款收支对比图（万元）</a:t>
            </a:r>
            <a:endParaRPr lang="zh-CN" altLang="en-US"/>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2023年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财政拨款收入</c:v>
                </c:pt>
                <c:pt idx="1">
                  <c:v>财政拨款支出</c:v>
                </c:pt>
                <c:pt idx="2">
                  <c:v>一般公共预算财政拨款收入</c:v>
                </c:pt>
                <c:pt idx="3">
                  <c:v>一般公共预算财政拨款支出</c:v>
                </c:pt>
                <c:pt idx="4">
                  <c:v>政府性基金财政拨款收入</c:v>
                </c:pt>
                <c:pt idx="5">
                  <c:v>政府性基金财政拨款支出</c:v>
                </c:pt>
                <c:pt idx="6">
                  <c:v>国有资本经营预算财政拨款收入</c:v>
                </c:pt>
                <c:pt idx="7">
                  <c:v>国有资本经营预算财政拨款支出</c:v>
                </c:pt>
              </c:strCache>
            </c:strRef>
          </c:cat>
          <c:val>
            <c:numRef>
              <c:f>Sheet1!$B$2:$B$9</c:f>
              <c:numCache>
                <c:formatCode>General</c:formatCode>
                <c:ptCount val="8"/>
                <c:pt idx="0" c:formatCode="General">
                  <c:v>5274.9</c:v>
                </c:pt>
                <c:pt idx="1" c:formatCode="General">
                  <c:v>5379.73</c:v>
                </c:pt>
                <c:pt idx="2" c:formatCode="General">
                  <c:v>5274.9</c:v>
                </c:pt>
                <c:pt idx="3" c:formatCode="General">
                  <c:v>5379.73</c:v>
                </c:pt>
                <c:pt idx="4" c:formatCode="General">
                  <c:v>0</c:v>
                </c:pt>
                <c:pt idx="5" c:formatCode="General">
                  <c:v>0</c:v>
                </c:pt>
                <c:pt idx="6" c:formatCode="General">
                  <c:v>0</c:v>
                </c:pt>
                <c:pt idx="7" c:formatCode="General">
                  <c:v>0</c:v>
                </c:pt>
              </c:numCache>
            </c:numRef>
          </c:val>
        </c:ser>
        <c:ser>
          <c:idx val="1"/>
          <c:order val="1"/>
          <c:tx>
            <c:strRef>
              <c:f>Sheet1!$C$1</c:f>
              <c:strCache>
                <c:ptCount val="1"/>
                <c:pt idx="0">
                  <c:v>2024年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财政拨款收入</c:v>
                </c:pt>
                <c:pt idx="1">
                  <c:v>财政拨款支出</c:v>
                </c:pt>
                <c:pt idx="2">
                  <c:v>一般公共预算财政拨款收入</c:v>
                </c:pt>
                <c:pt idx="3">
                  <c:v>一般公共预算财政拨款支出</c:v>
                </c:pt>
                <c:pt idx="4">
                  <c:v>政府性基金财政拨款收入</c:v>
                </c:pt>
                <c:pt idx="5">
                  <c:v>政府性基金财政拨款支出</c:v>
                </c:pt>
                <c:pt idx="6">
                  <c:v>国有资本经营预算财政拨款收入</c:v>
                </c:pt>
                <c:pt idx="7">
                  <c:v>国有资本经营预算财政拨款支出</c:v>
                </c:pt>
              </c:strCache>
            </c:strRef>
          </c:cat>
          <c:val>
            <c:numRef>
              <c:f>Sheet1!$C$2:$C$9</c:f>
              <c:numCache>
                <c:formatCode>General</c:formatCode>
                <c:ptCount val="8"/>
                <c:pt idx="0" c:formatCode="General">
                  <c:v>4842.33</c:v>
                </c:pt>
                <c:pt idx="1" c:formatCode="General">
                  <c:v>4817.94</c:v>
                </c:pt>
                <c:pt idx="2" c:formatCode="General">
                  <c:v>4842.33</c:v>
                </c:pt>
                <c:pt idx="3" c:formatCode="General">
                  <c:v>4817.94</c:v>
                </c:pt>
                <c:pt idx="4" c:formatCode="General">
                  <c:v>0</c:v>
                </c:pt>
                <c:pt idx="5" c:formatCode="General">
                  <c:v>0</c:v>
                </c:pt>
                <c:pt idx="6" c:formatCode="General">
                  <c:v>0</c:v>
                </c:pt>
                <c:pt idx="7" c:formatCode="General">
                  <c:v>0</c:v>
                </c:pt>
              </c:numCache>
            </c:numRef>
          </c:val>
        </c:ser>
        <c:dLbls>
          <c:showLegendKey val="0"/>
          <c:showVal val="1"/>
          <c:showCatName val="0"/>
          <c:showSerName val="0"/>
          <c:showPercent val="0"/>
          <c:showBubbleSize val="0"/>
        </c:dLbls>
        <c:gapWidth val="246"/>
        <c:overlap val="-28"/>
        <c:axId val="40225855"/>
        <c:axId val="660958640"/>
      </c:barChart>
      <c:catAx>
        <c:axId val="40225855"/>
        <c:scaling>
          <c:orientation val="minMax"/>
        </c:scaling>
        <c:delete val="0"/>
        <c:axPos val="b"/>
        <c:numFmt formatCode="General" sourceLinked="0"/>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60958640"/>
        <c:crosses val="autoZero"/>
        <c:auto val="1"/>
        <c:lblAlgn val="ctr"/>
        <c:lblOffset val="100"/>
        <c:noMultiLvlLbl val="0"/>
      </c:catAx>
      <c:valAx>
        <c:axId val="660958640"/>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0225855"/>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dTable>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图 </a:t>
            </a:r>
            <a:r>
              <a:rPr lang="en-US" altLang="zh-CN"/>
              <a:t>5 :</a:t>
            </a:r>
            <a:r>
              <a:rPr lang="zh-CN" altLang="en-US"/>
              <a:t>财政拨款收支预算对比图（万元）</a:t>
            </a:r>
            <a:endParaRPr lang="zh-CN" altLang="en-US"/>
          </a:p>
        </c:rich>
      </c:tx>
      <c:layout/>
      <c:overlay val="0"/>
      <c:spPr>
        <a:noFill/>
        <a:ln>
          <a:noFill/>
        </a:ln>
        <a:effectLst/>
      </c:spPr>
    </c:title>
    <c:autoTitleDeleted val="0"/>
    <c:plotArea>
      <c:layout>
        <c:manualLayout>
          <c:layoutTarget val="inner"/>
          <c:xMode val="edge"/>
          <c:yMode val="edge"/>
          <c:x val="0.17641942498188"/>
          <c:y val="0.160433489162771"/>
          <c:w val="0.795796086011114"/>
          <c:h val="0.474330641733957"/>
        </c:manualLayout>
      </c:layout>
      <c:barChart>
        <c:barDir val="col"/>
        <c:grouping val="clustered"/>
        <c:varyColors val="0"/>
        <c:ser>
          <c:idx val="0"/>
          <c:order val="0"/>
          <c:tx>
            <c:strRef>
              <c:f>Sheet1!$B$1</c:f>
              <c:strCache>
                <c:ptCount val="1"/>
                <c:pt idx="0">
                  <c:v>年初预算数</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财政拨款收入</c:v>
                </c:pt>
                <c:pt idx="1">
                  <c:v>财政拨款支出</c:v>
                </c:pt>
                <c:pt idx="2">
                  <c:v>一般公共预算财政拨款收入</c:v>
                </c:pt>
                <c:pt idx="3">
                  <c:v>一般公共预算财政拨款支出</c:v>
                </c:pt>
                <c:pt idx="4">
                  <c:v>政府性基金财政拨款收入</c:v>
                </c:pt>
                <c:pt idx="5">
                  <c:v>政府性基金财政拨款支出</c:v>
                </c:pt>
                <c:pt idx="6">
                  <c:v>国有资本经营预算财政拨款收入</c:v>
                </c:pt>
                <c:pt idx="7">
                  <c:v>国有资本经营预算财政拨款支出</c:v>
                </c:pt>
              </c:strCache>
            </c:strRef>
          </c:cat>
          <c:val>
            <c:numRef>
              <c:f>Sheet1!$B$2:$B$9</c:f>
              <c:numCache>
                <c:formatCode>General</c:formatCode>
                <c:ptCount val="8"/>
                <c:pt idx="0" c:formatCode="General">
                  <c:v>5507.67</c:v>
                </c:pt>
                <c:pt idx="1" c:formatCode="General">
                  <c:v>5507.67</c:v>
                </c:pt>
                <c:pt idx="2" c:formatCode="General">
                  <c:v>5507.67</c:v>
                </c:pt>
                <c:pt idx="3" c:formatCode="General">
                  <c:v>5507.67</c:v>
                </c:pt>
                <c:pt idx="4" c:formatCode="General">
                  <c:v>0</c:v>
                </c:pt>
                <c:pt idx="5" c:formatCode="General">
                  <c:v>0</c:v>
                </c:pt>
                <c:pt idx="6" c:formatCode="General">
                  <c:v>0</c:v>
                </c:pt>
                <c:pt idx="7" c:formatCode="General">
                  <c:v>0</c:v>
                </c:pt>
              </c:numCache>
            </c:numRef>
          </c:val>
        </c:ser>
        <c:ser>
          <c:idx val="1"/>
          <c:order val="1"/>
          <c:tx>
            <c:strRef>
              <c:f>Sheet1!$C$1</c:f>
              <c:strCache>
                <c:ptCount val="1"/>
                <c:pt idx="0">
                  <c:v>决算数</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财政拨款收入</c:v>
                </c:pt>
                <c:pt idx="1">
                  <c:v>财政拨款支出</c:v>
                </c:pt>
                <c:pt idx="2">
                  <c:v>一般公共预算财政拨款收入</c:v>
                </c:pt>
                <c:pt idx="3">
                  <c:v>一般公共预算财政拨款支出</c:v>
                </c:pt>
                <c:pt idx="4">
                  <c:v>政府性基金财政拨款收入</c:v>
                </c:pt>
                <c:pt idx="5">
                  <c:v>政府性基金财政拨款支出</c:v>
                </c:pt>
                <c:pt idx="6">
                  <c:v>国有资本经营预算财政拨款收入</c:v>
                </c:pt>
                <c:pt idx="7">
                  <c:v>国有资本经营预算财政拨款支出</c:v>
                </c:pt>
              </c:strCache>
            </c:strRef>
          </c:cat>
          <c:val>
            <c:numRef>
              <c:f>Sheet1!$C$2:$C$9</c:f>
              <c:numCache>
                <c:formatCode>General</c:formatCode>
                <c:ptCount val="8"/>
                <c:pt idx="0" c:formatCode="General">
                  <c:v>4842.33</c:v>
                </c:pt>
                <c:pt idx="1" c:formatCode="General">
                  <c:v>4817.94</c:v>
                </c:pt>
                <c:pt idx="2" c:formatCode="General">
                  <c:v>4842.33</c:v>
                </c:pt>
                <c:pt idx="3" c:formatCode="General">
                  <c:v>4817.94</c:v>
                </c:pt>
                <c:pt idx="4" c:formatCode="General">
                  <c:v>0</c:v>
                </c:pt>
                <c:pt idx="5" c:formatCode="General">
                  <c:v>0</c:v>
                </c:pt>
                <c:pt idx="6" c:formatCode="General">
                  <c:v>0</c:v>
                </c:pt>
                <c:pt idx="7" c:formatCode="General">
                  <c:v>0</c:v>
                </c:pt>
              </c:numCache>
            </c:numRef>
          </c:val>
        </c:ser>
        <c:dLbls>
          <c:showLegendKey val="0"/>
          <c:showVal val="1"/>
          <c:showCatName val="0"/>
          <c:showSerName val="0"/>
          <c:showPercent val="0"/>
          <c:showBubbleSize val="0"/>
        </c:dLbls>
        <c:gapWidth val="150"/>
        <c:axId val="136214206"/>
        <c:axId val="897256872"/>
      </c:barChart>
      <c:catAx>
        <c:axId val="136214206"/>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97256872"/>
        <c:crosses val="autoZero"/>
        <c:auto val="1"/>
        <c:lblAlgn val="ctr"/>
        <c:lblOffset val="100"/>
        <c:noMultiLvlLbl val="0"/>
      </c:catAx>
      <c:valAx>
        <c:axId val="897256872"/>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36214206"/>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r>
              <a:rPr lang="zh-CN" altLang="en-US"/>
              <a:t>图</a:t>
            </a:r>
            <a:r>
              <a:rPr lang="en-US" altLang="zh-CN"/>
              <a:t>6  : </a:t>
            </a:r>
            <a:r>
              <a:rPr lang="zh-CN" altLang="en-US"/>
              <a:t>财政拨款支出决算构成情况图</a:t>
            </a:r>
            <a:endParaRPr lang="zh-CN" altLang="en-US"/>
          </a:p>
        </c:rich>
      </c:tx>
      <c:layout/>
      <c:overlay val="0"/>
      <c:spPr>
        <a:noFill/>
        <a:ln>
          <a:noFill/>
        </a:ln>
        <a:effectLst/>
      </c:spPr>
    </c:title>
    <c:autoTitleDeleted val="0"/>
    <c:plotArea>
      <c:layout/>
      <c:pieChart>
        <c:varyColors val="1"/>
        <c:ser>
          <c:idx val="0"/>
          <c:order val="0"/>
          <c:tx>
            <c:strRef>
              <c:f>Sheet1!$B$1</c:f>
              <c:strCache>
                <c:ptCount val="1"/>
                <c:pt idx="0">
                  <c:v>金额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Pt>
            <c:idx val="7"/>
            <c:bubble3D val="0"/>
            <c:spPr>
              <a:solidFill>
                <a:schemeClr val="accent2">
                  <a:lumMod val="60000"/>
                </a:schemeClr>
              </a:solidFill>
              <a:ln>
                <a:solidFill>
                  <a:schemeClr val="bg1"/>
                </a:solidFill>
              </a:ln>
              <a:effectLst/>
            </c:spPr>
          </c:dPt>
          <c:dPt>
            <c:idx val="8"/>
            <c:bubble3D val="0"/>
            <c:spPr>
              <a:solidFill>
                <a:schemeClr val="accent3">
                  <a:lumMod val="60000"/>
                </a:schemeClr>
              </a:solidFill>
              <a:ln>
                <a:solidFill>
                  <a:schemeClr val="bg1"/>
                </a:solidFill>
              </a:ln>
              <a:effectLst/>
            </c:spPr>
          </c:dPt>
          <c:dPt>
            <c:idx val="9"/>
            <c:bubble3D val="0"/>
            <c:spPr>
              <a:solidFill>
                <a:schemeClr val="accent4">
                  <a:lumMod val="60000"/>
                </a:schemeClr>
              </a:solidFill>
              <a:ln>
                <a:solidFill>
                  <a:schemeClr val="bg1"/>
                </a:solidFill>
              </a:ln>
              <a:effectLst/>
            </c:spPr>
          </c:dPt>
          <c:dPt>
            <c:idx val="10"/>
            <c:bubble3D val="0"/>
            <c:spPr>
              <a:solidFill>
                <a:schemeClr val="accent5">
                  <a:lumMod val="60000"/>
                </a:schemeClr>
              </a:solidFill>
              <a:ln>
                <a:solidFill>
                  <a:schemeClr val="bg1"/>
                </a:solidFill>
              </a:ln>
              <a:effectLst/>
            </c:spPr>
          </c:dPt>
          <c:dPt>
            <c:idx val="11"/>
            <c:bubble3D val="0"/>
            <c:spPr>
              <a:solidFill>
                <a:schemeClr val="accent6">
                  <a:lumMod val="60000"/>
                </a:schemeClr>
              </a:solidFill>
              <a:ln>
                <a:solidFill>
                  <a:schemeClr val="bg1"/>
                </a:solidFill>
              </a:ln>
              <a:effectLst/>
            </c:spPr>
          </c:dPt>
          <c:dPt>
            <c:idx val="12"/>
            <c:bubble3D val="0"/>
            <c:spPr>
              <a:solidFill>
                <a:schemeClr val="accent1">
                  <a:lumMod val="80000"/>
                  <a:lumOff val="20000"/>
                </a:schemeClr>
              </a:solidFill>
              <a:ln>
                <a:solidFill>
                  <a:schemeClr val="bg1"/>
                </a:solidFill>
              </a:ln>
              <a:effectLst/>
            </c:spPr>
          </c:dPt>
          <c:dPt>
            <c:idx val="13"/>
            <c:bubble3D val="0"/>
            <c:spPr>
              <a:solidFill>
                <a:schemeClr val="accent2">
                  <a:lumMod val="80000"/>
                  <a:lumOff val="20000"/>
                </a:schemeClr>
              </a:solidFill>
              <a:ln>
                <a:solidFill>
                  <a:schemeClr val="bg1"/>
                </a:solidFill>
              </a:ln>
              <a:effectLst/>
            </c:spPr>
          </c:dPt>
          <c:dPt>
            <c:idx val="14"/>
            <c:bubble3D val="0"/>
            <c:spPr>
              <a:solidFill>
                <a:schemeClr val="accent3">
                  <a:lumMod val="80000"/>
                  <a:lumOff val="20000"/>
                </a:schemeClr>
              </a:solidFill>
              <a:ln>
                <a:solidFill>
                  <a:schemeClr val="bg1"/>
                </a:solidFill>
              </a:ln>
              <a:effectLst/>
            </c:spPr>
          </c:dPt>
          <c:dPt>
            <c:idx val="15"/>
            <c:bubble3D val="0"/>
            <c:spPr>
              <a:solidFill>
                <a:schemeClr val="accent4">
                  <a:lumMod val="80000"/>
                  <a:lumOff val="20000"/>
                </a:schemeClr>
              </a:solidFill>
              <a:ln>
                <a:solidFill>
                  <a:schemeClr val="bg1"/>
                </a:solidFill>
              </a:ln>
              <a:effectLst/>
            </c:spPr>
          </c:dPt>
          <c:dPt>
            <c:idx val="16"/>
            <c:bubble3D val="0"/>
            <c:spPr>
              <a:solidFill>
                <a:schemeClr val="accent5">
                  <a:lumMod val="80000"/>
                  <a:lumOff val="20000"/>
                </a:schemeClr>
              </a:solidFill>
              <a:ln>
                <a:solidFill>
                  <a:schemeClr val="bg1"/>
                </a:solidFill>
              </a:ln>
              <a:effectLst/>
            </c:spPr>
          </c:dPt>
          <c:dPt>
            <c:idx val="17"/>
            <c:bubble3D val="0"/>
            <c:spPr>
              <a:solidFill>
                <a:schemeClr val="accent6">
                  <a:lumMod val="80000"/>
                  <a:lumOff val="20000"/>
                </a:schemeClr>
              </a:solidFill>
              <a:ln>
                <a:solidFill>
                  <a:schemeClr val="bg1"/>
                </a:solidFill>
              </a:ln>
              <a:effectLst/>
            </c:spPr>
          </c:dPt>
          <c:dPt>
            <c:idx val="18"/>
            <c:bubble3D val="0"/>
            <c:spPr>
              <a:solidFill>
                <a:schemeClr val="accent1">
                  <a:lumMod val="80000"/>
                </a:schemeClr>
              </a:solidFill>
              <a:ln>
                <a:solidFill>
                  <a:schemeClr val="bg1"/>
                </a:solidFill>
              </a:ln>
              <a:effectLst/>
            </c:spPr>
          </c:dPt>
          <c:dPt>
            <c:idx val="19"/>
            <c:bubble3D val="0"/>
            <c:spPr>
              <a:solidFill>
                <a:schemeClr val="accent2">
                  <a:lumMod val="80000"/>
                </a:schemeClr>
              </a:solidFill>
              <a:ln>
                <a:solidFill>
                  <a:schemeClr val="bg1"/>
                </a:solidFill>
              </a:ln>
              <a:effectLst/>
            </c:spPr>
          </c:dPt>
          <c:dPt>
            <c:idx val="20"/>
            <c:bubble3D val="0"/>
            <c:spPr>
              <a:solidFill>
                <a:schemeClr val="accent3">
                  <a:lumMod val="80000"/>
                </a:schemeClr>
              </a:solidFill>
              <a:ln>
                <a:solidFill>
                  <a:schemeClr val="bg1"/>
                </a:solidFill>
              </a:ln>
              <a:effectLst/>
            </c:spPr>
          </c:dPt>
          <c:dPt>
            <c:idx val="21"/>
            <c:bubble3D val="0"/>
            <c:spPr>
              <a:solidFill>
                <a:schemeClr val="accent4">
                  <a:lumMod val="80000"/>
                </a:schemeClr>
              </a:solidFill>
              <a:ln>
                <a:solidFill>
                  <a:schemeClr val="bg1"/>
                </a:solidFill>
              </a:ln>
              <a:effectLst/>
            </c:spPr>
          </c:dPt>
          <c:dPt>
            <c:idx val="22"/>
            <c:bubble3D val="0"/>
            <c:spPr>
              <a:solidFill>
                <a:schemeClr val="accent5">
                  <a:lumMod val="80000"/>
                </a:schemeClr>
              </a:solidFill>
              <a:ln>
                <a:solidFill>
                  <a:schemeClr val="bg1"/>
                </a:solidFill>
              </a:ln>
              <a:effectLst/>
            </c:spPr>
          </c:dPt>
          <c:dPt>
            <c:idx val="23"/>
            <c:bubble3D val="0"/>
            <c:spPr>
              <a:solidFill>
                <a:schemeClr val="accent6">
                  <a:lumMod val="80000"/>
                </a:schemeClr>
              </a:solidFill>
              <a:ln>
                <a:solidFill>
                  <a:schemeClr val="bg1"/>
                </a:solidFill>
              </a:ln>
              <a:effectLst/>
            </c:spPr>
          </c:dPt>
          <c:dPt>
            <c:idx val="24"/>
            <c:bubble3D val="0"/>
            <c:spPr>
              <a:solidFill>
                <a:schemeClr val="accent1">
                  <a:lumMod val="60000"/>
                  <a:lumOff val="40000"/>
                </a:schemeClr>
              </a:solidFill>
              <a:ln>
                <a:solidFill>
                  <a:schemeClr val="bg1"/>
                </a:solidFill>
              </a:ln>
              <a:effectLst/>
            </c:spPr>
          </c:dPt>
          <c:dPt>
            <c:idx val="25"/>
            <c:bubble3D val="0"/>
            <c:spPr>
              <a:solidFill>
                <a:schemeClr val="accent2">
                  <a:lumMod val="60000"/>
                  <a:lumOff val="40000"/>
                </a:schemeClr>
              </a:solidFill>
              <a:ln>
                <a:solidFill>
                  <a:schemeClr val="bg1"/>
                </a:solidFill>
              </a:ln>
              <a:effectLst/>
            </c:spPr>
          </c:dPt>
          <c:dLbls>
            <c:delete val="1"/>
          </c:dLbls>
          <c:cat>
            <c:strRef>
              <c:f>Sheet1!$A$2:$A$27</c:f>
              <c:strCache>
                <c:ptCount val="26"/>
                <c:pt idx="0">
                  <c:v>一般公共服务支出</c:v>
                </c:pt>
                <c:pt idx="1">
                  <c:v>外交支出</c:v>
                </c:pt>
                <c:pt idx="2">
                  <c:v>国防支出</c:v>
                </c:pt>
                <c:pt idx="3">
                  <c:v>公共安全支出</c:v>
                </c:pt>
                <c:pt idx="4">
                  <c:v>教育支出</c:v>
                </c:pt>
                <c:pt idx="5">
                  <c:v>科学技术支出</c:v>
                </c:pt>
                <c:pt idx="6">
                  <c:v>文化旅游体育与传媒支出</c:v>
                </c:pt>
                <c:pt idx="7">
                  <c:v>社会保障和就业支出</c:v>
                </c:pt>
                <c:pt idx="8">
                  <c:v>卫生健康支出</c:v>
                </c:pt>
                <c:pt idx="9">
                  <c:v>节能环保支出</c:v>
                </c:pt>
                <c:pt idx="10">
                  <c:v>城乡社区支出</c:v>
                </c:pt>
                <c:pt idx="11">
                  <c:v>农林水支出</c:v>
                </c:pt>
                <c:pt idx="12">
                  <c:v>交通运输支出</c:v>
                </c:pt>
                <c:pt idx="13">
                  <c:v>资源勘探工业信息等支出</c:v>
                </c:pt>
                <c:pt idx="14">
                  <c:v>商业服务业等支出</c:v>
                </c:pt>
                <c:pt idx="15">
                  <c:v>金融支出</c:v>
                </c:pt>
                <c:pt idx="16">
                  <c:v>援助其他地区支出</c:v>
                </c:pt>
                <c:pt idx="17">
                  <c:v>自然资源海洋气象等支出</c:v>
                </c:pt>
                <c:pt idx="18">
                  <c:v>住房保障支出</c:v>
                </c:pt>
                <c:pt idx="19">
                  <c:v>粮油物资储备支出</c:v>
                </c:pt>
                <c:pt idx="20">
                  <c:v>国有资本经营预算支出</c:v>
                </c:pt>
                <c:pt idx="21">
                  <c:v>灾害防治及应急管理支出</c:v>
                </c:pt>
                <c:pt idx="22">
                  <c:v>其他支出</c:v>
                </c:pt>
                <c:pt idx="23">
                  <c:v>债务还本支出</c:v>
                </c:pt>
                <c:pt idx="24">
                  <c:v>债务付息支出</c:v>
                </c:pt>
                <c:pt idx="25">
                  <c:v>抗疫特别国债安排的支出</c:v>
                </c:pt>
              </c:strCache>
            </c:strRef>
          </c:cat>
          <c:val>
            <c:numRef>
              <c:f>Sheet1!$B$2:$B$27</c:f>
              <c:numCache>
                <c:formatCode>General</c:formatCode>
                <c:ptCount val="26"/>
                <c:pt idx="0" c:formatCode="General">
                  <c:v>3444.28</c:v>
                </c:pt>
                <c:pt idx="1" c:formatCode="General">
                  <c:v>0</c:v>
                </c:pt>
                <c:pt idx="2" c:formatCode="General">
                  <c:v>0</c:v>
                </c:pt>
                <c:pt idx="3" c:formatCode="General">
                  <c:v>0</c:v>
                </c:pt>
                <c:pt idx="4" c:formatCode="General">
                  <c:v>0</c:v>
                </c:pt>
                <c:pt idx="5" c:formatCode="General">
                  <c:v>0</c:v>
                </c:pt>
                <c:pt idx="6" c:formatCode="General">
                  <c:v>0</c:v>
                </c:pt>
                <c:pt idx="7" c:formatCode="General">
                  <c:v>823.49</c:v>
                </c:pt>
                <c:pt idx="8" c:formatCode="General">
                  <c:v>187.72</c:v>
                </c:pt>
                <c:pt idx="9" c:formatCode="General">
                  <c:v>0</c:v>
                </c:pt>
                <c:pt idx="10" c:formatCode="General">
                  <c:v>0</c:v>
                </c:pt>
                <c:pt idx="11" c:formatCode="General">
                  <c:v>0</c:v>
                </c:pt>
                <c:pt idx="12" c:formatCode="General">
                  <c:v>0</c:v>
                </c:pt>
                <c:pt idx="13" c:formatCode="General">
                  <c:v>0</c:v>
                </c:pt>
                <c:pt idx="14" c:formatCode="General">
                  <c:v>0</c:v>
                </c:pt>
                <c:pt idx="15" c:formatCode="General">
                  <c:v>0</c:v>
                </c:pt>
                <c:pt idx="16" c:formatCode="General">
                  <c:v>0</c:v>
                </c:pt>
                <c:pt idx="17" c:formatCode="General">
                  <c:v>0</c:v>
                </c:pt>
                <c:pt idx="18" c:formatCode="General">
                  <c:v>362.45</c:v>
                </c:pt>
                <c:pt idx="19" c:formatCode="General">
                  <c:v>0</c:v>
                </c:pt>
                <c:pt idx="20" c:formatCode="General">
                  <c:v>0</c:v>
                </c:pt>
                <c:pt idx="21" c:formatCode="General">
                  <c:v>0</c:v>
                </c:pt>
                <c:pt idx="22" c:formatCode="General">
                  <c:v>0</c:v>
                </c:pt>
                <c:pt idx="23" c:formatCode="General">
                  <c:v>0</c:v>
                </c:pt>
                <c:pt idx="24" c:formatCode="General">
                  <c:v>0</c:v>
                </c:pt>
                <c:pt idx="25" c:formatCode="General">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25</Pages>
  <Words>611</Words>
  <Characters>2169</Characters>
  <Lines>86</Lines>
  <Paragraphs>24</Paragraphs>
  <ScaleCrop>false</ScaleCrop>
  <LinksUpToDate>false</LinksUpToDate>
  <CharactersWithSpaces>2170</CharactersWithSpaces>
  <Application>WPS Office_10.8.0.5761_F1E327BC-269C-435d-A152-05C5408002CA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2023-08-04T07:55:00Z</dcterms:created>
  <dc:creator>王明新TIAD</dc:creator>
  <cp:lastModifiedBy>lenovo</cp:lastModifiedBy>
  <cp:lastPrinted>2023-08-04T01:00:00Z</cp:lastPrinted>
  <dcterms:modified xsi:type="dcterms:W3CDTF">2025-09-12T07:28:23Z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2052-10.8.0.5761</vt:lpwstr>
  </property>
  <property fmtid="{D5CDD505-2E9C-101B-9397-08002B2CF9AE}" pid="3" name="ICV">
    <vt:lpwstr>B9D4097774744A28A58B1072CF95DB35_13</vt:lpwstr>
  </property>
  <property fmtid="{D5CDD505-2E9C-101B-9397-08002B2CF9AE}" pid="4" name="KSOTemplateUUID">
    <vt:lpwstr>v1.0_mb_S7ajbG3IpAnL1wSthNCxfw==</vt:lpwstr>
  </property>
  <property fmtid="{D5CDD505-2E9C-101B-9397-08002B2CF9AE}" pid="5" name="KSOTemplateDocerSaveRecord">
    <vt:lpwstr>eyJoZGlkIjoiYjA3YzVjY2RhYzM1OWI4MmYzZjdlYWUzZWM2YTQyNTYiLCJ1c2VySWQiOiIxNTIwMzY1OTkzIn0=</vt:lpwstr>
  </property>
</Properties>
</file>