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4</w:t>
      </w:r>
    </w:p>
    <w:p>
      <w:pPr>
        <w:spacing w:line="560" w:lineRule="exact"/>
        <w:jc w:val="center"/>
        <w:rPr>
          <w:rFonts w:ascii="宋体" w:hAnsi="宋体" w:cs="宋体"/>
          <w:b/>
          <w:bCs/>
          <w:sz w:val="44"/>
          <w:szCs w:val="44"/>
        </w:rPr>
      </w:pPr>
    </w:p>
    <w:p>
      <w:pPr>
        <w:spacing w:line="560" w:lineRule="exact"/>
        <w:jc w:val="center"/>
        <w:rPr>
          <w:rFonts w:hint="eastAsia" w:ascii="宋体" w:hAnsi="宋体" w:cs="宋体"/>
          <w:b/>
          <w:bCs/>
          <w:sz w:val="44"/>
          <w:szCs w:val="44"/>
        </w:rPr>
      </w:pPr>
      <w:r>
        <w:rPr>
          <w:rFonts w:hint="eastAsia" w:ascii="宋体" w:hAnsi="宋体" w:cs="宋体"/>
          <w:b/>
          <w:bCs/>
          <w:sz w:val="44"/>
          <w:szCs w:val="44"/>
        </w:rPr>
        <w:t>石家庄市长安区人民检察院部门</w:t>
      </w:r>
    </w:p>
    <w:p>
      <w:pPr>
        <w:spacing w:line="560" w:lineRule="exact"/>
        <w:jc w:val="center"/>
        <w:rPr>
          <w:rFonts w:ascii="宋体" w:hAnsi="宋体" w:cs="宋体"/>
          <w:b/>
          <w:bCs/>
          <w:sz w:val="44"/>
          <w:szCs w:val="44"/>
        </w:rPr>
      </w:pPr>
      <w:r>
        <w:rPr>
          <w:rFonts w:hint="eastAsia" w:ascii="宋体" w:hAnsi="宋体" w:cs="宋体"/>
          <w:b/>
          <w:bCs/>
          <w:sz w:val="44"/>
          <w:szCs w:val="44"/>
        </w:rPr>
        <w:t>202</w:t>
      </w:r>
      <w:r>
        <w:rPr>
          <w:rFonts w:hint="eastAsia" w:ascii="宋体" w:hAnsi="宋体" w:cs="宋体"/>
          <w:b/>
          <w:bCs/>
          <w:sz w:val="44"/>
          <w:szCs w:val="44"/>
          <w:lang w:val="en-US" w:eastAsia="zh-CN"/>
        </w:rPr>
        <w:t>4</w:t>
      </w:r>
      <w:r>
        <w:rPr>
          <w:rFonts w:hint="eastAsia" w:ascii="宋体" w:hAnsi="宋体" w:cs="宋体"/>
          <w:b/>
          <w:bCs/>
          <w:sz w:val="44"/>
          <w:szCs w:val="44"/>
        </w:rPr>
        <w:t>年度整体支出绩效自评报告</w:t>
      </w:r>
    </w:p>
    <w:p>
      <w:pPr>
        <w:spacing w:line="560" w:lineRule="exact"/>
        <w:jc w:val="center"/>
        <w:rPr>
          <w:rFonts w:ascii="华文楷体" w:eastAsia="华文楷体"/>
          <w:sz w:val="32"/>
          <w:szCs w:val="32"/>
        </w:rPr>
      </w:pPr>
    </w:p>
    <w:p>
      <w:pPr>
        <w:widowControl w:val="0"/>
        <w:wordWrap/>
        <w:adjustRightInd w:val="0"/>
        <w:snapToGrid w:val="0"/>
        <w:spacing w:line="560" w:lineRule="exact"/>
        <w:ind w:left="0" w:leftChars="0" w:right="0" w:firstLine="640" w:firstLineChars="200"/>
        <w:textAlignment w:val="auto"/>
        <w:outlineLvl w:val="9"/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贯彻落实市委市政府《关于全面落实预算绩效管理的实施意见》（石发﹝2019﹞8号）文件精神，遵循“科学性、规范性、客观性和公正性”的原则，对石家庄市长安区人民检察院部门2024年整体支出情况实施了财政支出绩效自评价，形成本评价报告。</w:t>
      </w:r>
    </w:p>
    <w:p>
      <w:pPr>
        <w:adjustRightInd w:val="0"/>
        <w:snapToGrid w:val="0"/>
        <w:spacing w:line="560" w:lineRule="exact"/>
        <w:rPr>
          <w:rFonts w:ascii="黑体" w:hAnsi="黑体" w:eastAsia="黑体"/>
          <w:b/>
          <w:bCs/>
          <w:sz w:val="32"/>
          <w:szCs w:val="36"/>
        </w:rPr>
      </w:pPr>
      <w:r>
        <w:rPr>
          <w:rFonts w:hint="eastAsia" w:ascii="黑体" w:hAnsi="黑体" w:eastAsia="黑体"/>
          <w:sz w:val="32"/>
          <w:szCs w:val="32"/>
        </w:rPr>
        <w:t xml:space="preserve">     一、部门</w:t>
      </w:r>
      <w:r>
        <w:rPr>
          <w:rFonts w:hint="eastAsia" w:ascii="黑体" w:hAnsi="黑体" w:eastAsia="黑体"/>
          <w:sz w:val="32"/>
          <w:szCs w:val="36"/>
        </w:rPr>
        <w:t>基本情况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楷体" w:hAnsi="楷体" w:eastAsia="楷体" w:cs="楷体_GB2312"/>
          <w:bCs/>
          <w:sz w:val="32"/>
          <w:szCs w:val="32"/>
        </w:rPr>
      </w:pPr>
      <w:r>
        <w:rPr>
          <w:rFonts w:hint="eastAsia" w:ascii="楷体" w:hAnsi="楷体" w:eastAsia="楷体" w:cs="楷体_GB2312"/>
          <w:bCs/>
          <w:sz w:val="32"/>
          <w:szCs w:val="32"/>
        </w:rPr>
        <w:t>（一）部门概况</w:t>
      </w:r>
    </w:p>
    <w:p>
      <w:pPr>
        <w:widowControl w:val="0"/>
        <w:wordWrap/>
        <w:adjustRightInd w:val="0"/>
        <w:snapToGrid w:val="0"/>
        <w:spacing w:line="560" w:lineRule="exact"/>
        <w:ind w:left="0" w:leftChars="0" w:right="0" w:firstLine="640" w:firstLineChars="200"/>
        <w:textAlignment w:val="auto"/>
        <w:outlineLvl w:val="9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部门职责：</w:t>
      </w:r>
    </w:p>
    <w:p>
      <w:pPr>
        <w:widowControl w:val="0"/>
        <w:wordWrap/>
        <w:adjustRightInd w:val="0"/>
        <w:snapToGrid w:val="0"/>
        <w:spacing w:line="560" w:lineRule="exact"/>
        <w:ind w:left="0" w:leftChars="0" w:right="0" w:firstLine="640" w:firstLineChars="200"/>
        <w:textAlignment w:val="auto"/>
        <w:outlineLvl w:val="9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（一）深入贯彻习近平新时代中国特色社会主义思想，深入贯彻党的路线方针和决策部署，坚持党对检察工作的绝对领导，坚决维护习近平总书记的核心地位，坚决维护党中央权威和集中统一领导。</w:t>
      </w:r>
    </w:p>
    <w:p>
      <w:pPr>
        <w:widowControl w:val="0"/>
        <w:wordWrap/>
        <w:adjustRightInd w:val="0"/>
        <w:snapToGrid w:val="0"/>
        <w:spacing w:line="560" w:lineRule="exact"/>
        <w:ind w:left="0" w:leftChars="0" w:right="0" w:firstLine="640" w:firstLineChars="200"/>
        <w:textAlignment w:val="auto"/>
        <w:outlineLvl w:val="9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（二）依法向区人民代表大会及其常务委员会提出议案。</w:t>
      </w:r>
    </w:p>
    <w:p>
      <w:pPr>
        <w:widowControl w:val="0"/>
        <w:wordWrap/>
        <w:adjustRightInd w:val="0"/>
        <w:snapToGrid w:val="0"/>
        <w:spacing w:line="560" w:lineRule="exact"/>
        <w:ind w:left="0" w:leftChars="0" w:right="0" w:firstLine="640" w:firstLineChars="200"/>
        <w:textAlignment w:val="auto"/>
        <w:outlineLvl w:val="9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（三）贯彻落实检察工作方针、总体规划，研究制定检察工作计划并组织实施。</w:t>
      </w:r>
    </w:p>
    <w:p>
      <w:pPr>
        <w:widowControl w:val="0"/>
        <w:wordWrap/>
        <w:adjustRightInd w:val="0"/>
        <w:snapToGrid w:val="0"/>
        <w:spacing w:line="560" w:lineRule="exact"/>
        <w:ind w:left="0" w:leftChars="0" w:right="0" w:firstLine="640" w:firstLineChars="200"/>
        <w:textAlignment w:val="auto"/>
        <w:outlineLvl w:val="9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（四）依照法律规定对直接受理的刑事案件行使侦查权。</w:t>
      </w:r>
    </w:p>
    <w:p>
      <w:pPr>
        <w:widowControl w:val="0"/>
        <w:wordWrap/>
        <w:adjustRightInd w:val="0"/>
        <w:snapToGrid w:val="0"/>
        <w:spacing w:line="560" w:lineRule="exact"/>
        <w:ind w:left="0" w:leftChars="0" w:right="0" w:firstLine="640" w:firstLineChars="200"/>
        <w:textAlignment w:val="auto"/>
        <w:outlineLvl w:val="9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（五）负责对管辖的各类刑事案件依法审查批准逮捕、决定逮捕、提起公诉。</w:t>
      </w:r>
    </w:p>
    <w:p>
      <w:pPr>
        <w:widowControl w:val="0"/>
        <w:wordWrap/>
        <w:adjustRightInd w:val="0"/>
        <w:snapToGrid w:val="0"/>
        <w:spacing w:line="560" w:lineRule="exact"/>
        <w:ind w:left="0" w:leftChars="0" w:right="0" w:firstLine="640" w:firstLineChars="200"/>
        <w:textAlignment w:val="auto"/>
        <w:outlineLvl w:val="9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（六) 负责应由本院承办的刑事、民事、行政诉讼活动及刑事、民事、行政判决和裁定等生效法律文书执行的法律监督工作。</w:t>
      </w:r>
    </w:p>
    <w:p>
      <w:pPr>
        <w:widowControl w:val="0"/>
        <w:wordWrap/>
        <w:adjustRightInd w:val="0"/>
        <w:snapToGrid w:val="0"/>
        <w:spacing w:line="560" w:lineRule="exact"/>
        <w:ind w:left="0" w:leftChars="0" w:right="0" w:firstLine="640" w:firstLineChars="200"/>
        <w:textAlignment w:val="auto"/>
        <w:outlineLvl w:val="9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（七）负责应由本院承办的提起公益诉讼工作。</w:t>
      </w:r>
    </w:p>
    <w:p>
      <w:pPr>
        <w:widowControl w:val="0"/>
        <w:wordWrap/>
        <w:adjustRightInd w:val="0"/>
        <w:snapToGrid w:val="0"/>
        <w:spacing w:line="560" w:lineRule="exact"/>
        <w:ind w:left="0" w:leftChars="0" w:right="0" w:firstLine="640" w:firstLineChars="200"/>
        <w:textAlignment w:val="auto"/>
        <w:outlineLvl w:val="9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（八）依法受理核准追诉案件，审查是否上报。</w:t>
      </w:r>
    </w:p>
    <w:p>
      <w:pPr>
        <w:widowControl w:val="0"/>
        <w:wordWrap/>
        <w:adjustRightInd w:val="0"/>
        <w:snapToGrid w:val="0"/>
        <w:spacing w:line="560" w:lineRule="exact"/>
        <w:ind w:left="0" w:leftChars="0" w:right="0" w:firstLine="640" w:firstLineChars="200"/>
        <w:textAlignment w:val="auto"/>
        <w:outlineLvl w:val="9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（九）负责应由本院承办的对社区矫正等执法活动的法律监督工作。</w:t>
      </w:r>
    </w:p>
    <w:p>
      <w:pPr>
        <w:widowControl w:val="0"/>
        <w:wordWrap/>
        <w:adjustRightInd w:val="0"/>
        <w:snapToGrid w:val="0"/>
        <w:spacing w:line="560" w:lineRule="exact"/>
        <w:ind w:left="0" w:leftChars="0" w:right="0" w:firstLine="640" w:firstLineChars="200"/>
        <w:textAlignment w:val="auto"/>
        <w:outlineLvl w:val="9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（十）受理向本院的控告申诉。</w:t>
      </w:r>
    </w:p>
    <w:p>
      <w:pPr>
        <w:widowControl w:val="0"/>
        <w:wordWrap/>
        <w:adjustRightInd w:val="0"/>
        <w:snapToGrid w:val="0"/>
        <w:spacing w:line="560" w:lineRule="exact"/>
        <w:ind w:left="0" w:leftChars="0" w:right="0" w:firstLine="640" w:firstLineChars="200"/>
        <w:textAlignment w:val="auto"/>
        <w:outlineLvl w:val="9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（十一）组织检察工作中法律政策具体应用问题的研究；组织开展检察理论研究工作。</w:t>
      </w:r>
    </w:p>
    <w:p>
      <w:pPr>
        <w:widowControl w:val="0"/>
        <w:wordWrap/>
        <w:adjustRightInd w:val="0"/>
        <w:snapToGrid w:val="0"/>
        <w:spacing w:line="560" w:lineRule="exact"/>
        <w:ind w:left="0" w:leftChars="0" w:right="0" w:firstLine="640" w:firstLineChars="200"/>
        <w:textAlignment w:val="auto"/>
        <w:outlineLvl w:val="9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（十二）负责检察人员思想政治教育和业务培训工作；按照权限管理检察官和其他工作人员。</w:t>
      </w:r>
    </w:p>
    <w:p>
      <w:pPr>
        <w:widowControl w:val="0"/>
        <w:wordWrap/>
        <w:adjustRightInd w:val="0"/>
        <w:snapToGrid w:val="0"/>
        <w:spacing w:line="560" w:lineRule="exact"/>
        <w:ind w:left="0" w:leftChars="0" w:right="0" w:firstLine="640" w:firstLineChars="200"/>
        <w:textAlignment w:val="auto"/>
        <w:outlineLvl w:val="9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（十三）负责本院检务督查工作。</w:t>
      </w:r>
    </w:p>
    <w:p>
      <w:pPr>
        <w:widowControl w:val="0"/>
        <w:wordWrap/>
        <w:adjustRightInd w:val="0"/>
        <w:snapToGrid w:val="0"/>
        <w:spacing w:line="560" w:lineRule="exact"/>
        <w:ind w:left="0" w:leftChars="0" w:right="0" w:firstLine="640" w:firstLineChars="200"/>
        <w:textAlignment w:val="auto"/>
        <w:outlineLvl w:val="9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（十四）负责本院检务保障以及检察技术、信息化建设工作。</w:t>
      </w:r>
    </w:p>
    <w:p>
      <w:pPr>
        <w:widowControl w:val="0"/>
        <w:wordWrap/>
        <w:adjustRightInd w:val="0"/>
        <w:snapToGrid w:val="0"/>
        <w:spacing w:line="560" w:lineRule="exact"/>
        <w:ind w:left="0" w:leftChars="0" w:right="0" w:firstLine="640" w:firstLineChars="200"/>
        <w:textAlignment w:val="auto"/>
        <w:outlineLvl w:val="9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（十五）完成其他应当由本院负责的工作。</w:t>
      </w:r>
    </w:p>
    <w:p>
      <w:pPr>
        <w:ind w:firstLine="640" w:firstLineChars="200"/>
        <w:jc w:val="left"/>
        <w:rPr>
          <w:rFonts w:ascii="Times New Roman" w:eastAsia="方正仿宋_GBK"/>
          <w:sz w:val="28"/>
        </w:rPr>
      </w:pPr>
      <w:r>
        <w:rPr>
          <w:rFonts w:hint="eastAsia" w:ascii="仿宋" w:hAnsi="仿宋" w:eastAsia="仿宋"/>
          <w:sz w:val="32"/>
          <w:szCs w:val="32"/>
        </w:rPr>
        <w:t>机构设置：</w:t>
      </w:r>
    </w:p>
    <w:tbl>
      <w:tblPr>
        <w:tblStyle w:val="4"/>
        <w:tblpPr w:leftFromText="180" w:rightFromText="180" w:vertAnchor="text" w:horzAnchor="page" w:tblpX="1472" w:tblpY="22"/>
        <w:tblOverlap w:val="never"/>
        <w:tblW w:w="9658" w:type="dxa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37"/>
        <w:gridCol w:w="1673"/>
        <w:gridCol w:w="1903"/>
        <w:gridCol w:w="2745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  <w:tblHeader/>
        </w:trPr>
        <w:tc>
          <w:tcPr>
            <w:tcW w:w="333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  <w:r>
              <w:rPr>
                <w:rFonts w:ascii="方正书宋_GBK" w:eastAsia="方正书宋_GBK"/>
                <w:b/>
              </w:rPr>
              <w:t>单位名称</w:t>
            </w:r>
          </w:p>
        </w:tc>
        <w:tc>
          <w:tcPr>
            <w:tcW w:w="167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  <w:r>
              <w:rPr>
                <w:rFonts w:ascii="方正书宋_GBK" w:eastAsia="方正书宋_GBK"/>
                <w:b/>
              </w:rPr>
              <w:t>单位性质</w:t>
            </w:r>
          </w:p>
        </w:tc>
        <w:tc>
          <w:tcPr>
            <w:tcW w:w="190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  <w:r>
              <w:rPr>
                <w:rFonts w:ascii="方正书宋_GBK" w:eastAsia="方正书宋_GBK"/>
                <w:b/>
              </w:rPr>
              <w:t>单位规格</w:t>
            </w:r>
          </w:p>
        </w:tc>
        <w:tc>
          <w:tcPr>
            <w:tcW w:w="274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  <w:b/>
              </w:rPr>
            </w:pPr>
            <w:r>
              <w:rPr>
                <w:rFonts w:ascii="方正书宋_GBK" w:eastAsia="方正书宋_GBK"/>
                <w:b/>
              </w:rPr>
              <w:t>经费保障形式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9" w:hRule="atLeast"/>
        </w:trPr>
        <w:tc>
          <w:tcPr>
            <w:tcW w:w="3337" w:type="dxa"/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方正书宋_GBK" w:eastAsia="方正书宋_GBK"/>
              </w:rPr>
            </w:pPr>
            <w:r>
              <w:rPr>
                <w:rFonts w:ascii="方正书宋_GBK" w:eastAsia="方正书宋_GBK"/>
              </w:rPr>
              <w:t>石家庄市长安区人民检察院本级</w:t>
            </w:r>
          </w:p>
        </w:tc>
        <w:tc>
          <w:tcPr>
            <w:tcW w:w="167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</w:rPr>
            </w:pPr>
            <w:r>
              <w:rPr>
                <w:rFonts w:ascii="方正书宋_GBK" w:eastAsia="方正书宋_GBK"/>
              </w:rPr>
              <w:t>行政</w:t>
            </w:r>
          </w:p>
        </w:tc>
        <w:tc>
          <w:tcPr>
            <w:tcW w:w="190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</w:rPr>
            </w:pPr>
            <w:r>
              <w:rPr>
                <w:rFonts w:ascii="方正书宋_GBK" w:eastAsia="方正书宋_GBK"/>
              </w:rPr>
              <w:t>副处（县）级</w:t>
            </w:r>
          </w:p>
        </w:tc>
        <w:tc>
          <w:tcPr>
            <w:tcW w:w="274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书宋_GBK" w:eastAsia="方正书宋_GBK"/>
              </w:rPr>
            </w:pPr>
            <w:r>
              <w:rPr>
                <w:rFonts w:ascii="方正书宋_GBK" w:eastAsia="方正书宋_GBK"/>
              </w:rPr>
              <w:t>财政拨款</w:t>
            </w:r>
          </w:p>
        </w:tc>
      </w:tr>
    </w:tbl>
    <w:p>
      <w:pPr>
        <w:adjustRightInd w:val="0"/>
        <w:snapToGrid w:val="0"/>
        <w:spacing w:line="560" w:lineRule="exact"/>
        <w:ind w:firstLine="640" w:firstLineChars="200"/>
        <w:rPr>
          <w:rFonts w:hint="default" w:ascii="仿宋" w:hAnsi="仿宋" w:eastAsia="仿宋" w:cs="仿宋"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人员情况：我院人员编制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87人，实有在职人数8</w:t>
      </w:r>
      <w:r>
        <w:rPr>
          <w:rFonts w:hint="default" w:ascii="仿宋" w:hAnsi="仿宋" w:eastAsia="仿宋" w:cs="仿宋"/>
          <w:bCs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人。</w:t>
      </w:r>
    </w:p>
    <w:p>
      <w:pPr>
        <w:numPr>
          <w:ilvl w:val="0"/>
          <w:numId w:val="1"/>
        </w:numPr>
        <w:adjustRightInd w:val="0"/>
        <w:snapToGrid w:val="0"/>
        <w:spacing w:line="560" w:lineRule="exact"/>
        <w:ind w:firstLine="640" w:firstLineChars="200"/>
        <w:rPr>
          <w:rFonts w:hint="eastAsia" w:ascii="楷体" w:hAnsi="楷体" w:eastAsia="楷体" w:cs="楷体_GB2312"/>
          <w:bCs/>
          <w:sz w:val="32"/>
          <w:szCs w:val="32"/>
        </w:rPr>
      </w:pPr>
      <w:r>
        <w:rPr>
          <w:rFonts w:hint="eastAsia" w:ascii="楷体" w:hAnsi="楷体" w:eastAsia="楷体" w:cs="楷体_GB2312"/>
          <w:bCs/>
          <w:sz w:val="32"/>
          <w:szCs w:val="32"/>
        </w:rPr>
        <w:t>部门收支预决算情况</w:t>
      </w:r>
    </w:p>
    <w:p>
      <w:pPr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rPr>
          <w:rFonts w:ascii="楷体" w:hAnsi="楷体" w:eastAsia="楷体" w:cs="楷体_GB2312"/>
          <w:bCs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202</w:t>
      </w: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年预算收支安排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3024.03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万元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202</w:t>
      </w: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年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决算本年收入</w:t>
      </w: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2978.6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4万元，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本年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支出</w:t>
      </w:r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  <w:t>2978.6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万元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楷体" w:hAnsi="楷体" w:eastAsia="楷体" w:cs="楷体_GB2312"/>
          <w:bCs/>
          <w:sz w:val="32"/>
          <w:szCs w:val="32"/>
        </w:rPr>
      </w:pPr>
      <w:r>
        <w:rPr>
          <w:rFonts w:hint="eastAsia" w:ascii="楷体" w:hAnsi="楷体" w:eastAsia="楷体" w:cs="楷体_GB2312"/>
          <w:bCs/>
          <w:sz w:val="32"/>
          <w:szCs w:val="32"/>
        </w:rPr>
        <w:t>（三）部门整体支出绩效目标、指标</w:t>
      </w:r>
    </w:p>
    <w:p>
      <w:pPr>
        <w:widowControl w:val="0"/>
        <w:wordWrap/>
        <w:adjustRightInd w:val="0"/>
        <w:snapToGrid w:val="0"/>
        <w:spacing w:line="560" w:lineRule="exact"/>
        <w:ind w:left="0" w:leftChars="0" w:right="0" w:firstLine="640" w:firstLineChars="200"/>
        <w:textAlignment w:val="auto"/>
        <w:outlineLvl w:val="9"/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长安区检察院坚持以习近平新时代中国特色社会主义思想为指导，全面贯彻党的二十大精神和中央经济工作会议精神，认真落实省委十届三次全会、市委十一届四次全会和省委、市委、区委和最高检、省检察院、市检察院各项决策部署，坚持讲政治、顾大局、谋发展、重自强，更加注重系统观念、法治思维、强基导向，全面履行检察职责，综合运用监督手段，主动作为，能动司法，在“跃升之年、展示之年”，为建设经济强区、美丽长安新征程提供有力司法保障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二、自评工作开展情况</w:t>
      </w:r>
    </w:p>
    <w:p>
      <w:pPr>
        <w:spacing w:line="560" w:lineRule="exact"/>
        <w:rPr>
          <w:rFonts w:ascii="楷体" w:hAnsi="楷体" w:eastAsia="楷体" w:cs="楷体_GB2312"/>
          <w:sz w:val="32"/>
          <w:szCs w:val="32"/>
        </w:rPr>
      </w:pPr>
      <w:r>
        <w:rPr>
          <w:rFonts w:hint="eastAsia" w:ascii="仿宋" w:hAnsi="仿宋" w:eastAsia="仿宋" w:cs="楷体_GB2312"/>
          <w:b/>
          <w:bCs/>
          <w:sz w:val="32"/>
          <w:szCs w:val="32"/>
        </w:rPr>
        <w:t xml:space="preserve">    </w:t>
      </w:r>
      <w:r>
        <w:rPr>
          <w:rFonts w:hint="eastAsia" w:ascii="楷体" w:hAnsi="楷体" w:eastAsia="楷体" w:cs="楷体_GB2312"/>
          <w:bCs/>
          <w:sz w:val="32"/>
          <w:szCs w:val="32"/>
        </w:rPr>
        <w:t>（一）自评的组织工作</w:t>
      </w:r>
    </w:p>
    <w:p>
      <w:pPr>
        <w:spacing w:line="560" w:lineRule="exac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根据《石家庄市市级部门项目绩效自评管理办法》（石财绩〔2020〕5号）</w:t>
      </w:r>
      <w:r>
        <w:rPr>
          <w:rFonts w:hint="eastAsia" w:ascii="仿宋" w:hAnsi="仿宋" w:eastAsia="仿宋"/>
          <w:sz w:val="32"/>
          <w:szCs w:val="32"/>
          <w:lang w:eastAsia="zh-CN"/>
        </w:rPr>
        <w:t>文件</w:t>
      </w:r>
      <w:r>
        <w:rPr>
          <w:rFonts w:hint="eastAsia" w:ascii="仿宋" w:hAnsi="仿宋" w:eastAsia="仿宋"/>
          <w:sz w:val="32"/>
          <w:szCs w:val="32"/>
        </w:rPr>
        <w:t>，我院组织召开了专题会议，制定了工作计划，成立绩效评价工作小组，初步收集相关资料，学习有关制度文件，并对全年项目资金的使用情况进行了解，研究商定评价工作内容，制定绩效评价工作方案。</w:t>
      </w:r>
    </w:p>
    <w:p>
      <w:pPr>
        <w:numPr>
          <w:ilvl w:val="0"/>
          <w:numId w:val="2"/>
        </w:numPr>
        <w:spacing w:line="560" w:lineRule="exact"/>
        <w:rPr>
          <w:rFonts w:ascii="楷体" w:hAnsi="楷体" w:eastAsia="楷体" w:cs="楷体_GB2312"/>
          <w:bCs/>
          <w:sz w:val="32"/>
          <w:szCs w:val="32"/>
        </w:rPr>
      </w:pPr>
      <w:r>
        <w:rPr>
          <w:rFonts w:hint="eastAsia" w:ascii="楷体" w:hAnsi="楷体" w:eastAsia="楷体" w:cs="楷体_GB2312"/>
          <w:bCs/>
          <w:sz w:val="32"/>
          <w:szCs w:val="32"/>
        </w:rPr>
        <w:t>自评的方法和过程</w:t>
      </w:r>
    </w:p>
    <w:p>
      <w:pPr>
        <w:ind w:firstLine="320" w:firstLineChars="100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楷体" w:hAnsi="楷体" w:eastAsia="楷体" w:cs="楷体_GB2312"/>
          <w:bCs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1、评价方法</w:t>
      </w:r>
    </w:p>
    <w:p>
      <w:pPr>
        <w:widowControl w:val="0"/>
        <w:wordWrap/>
        <w:spacing w:line="560" w:lineRule="exact"/>
        <w:ind w:right="0" w:firstLine="640" w:firstLineChars="200"/>
        <w:textAlignment w:val="auto"/>
        <w:outlineLvl w:val="9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办公室</w:t>
      </w:r>
      <w:r>
        <w:rPr>
          <w:rFonts w:hint="eastAsia" w:ascii="仿宋" w:hAnsi="仿宋" w:eastAsia="仿宋"/>
          <w:sz w:val="32"/>
          <w:szCs w:val="32"/>
        </w:rPr>
        <w:t>作为经费管理部门负责项目考评全面工作，业务部门作为项目执行部门，全</w:t>
      </w:r>
      <w:r>
        <w:rPr>
          <w:rFonts w:hint="eastAsia" w:ascii="仿宋" w:hAnsi="仿宋" w:eastAsia="仿宋"/>
          <w:sz w:val="32"/>
          <w:szCs w:val="32"/>
          <w:lang w:eastAsia="zh-CN"/>
        </w:rPr>
        <w:t>力</w:t>
      </w:r>
      <w:r>
        <w:rPr>
          <w:rFonts w:hint="eastAsia" w:ascii="仿宋" w:hAnsi="仿宋" w:eastAsia="仿宋"/>
          <w:sz w:val="32"/>
          <w:szCs w:val="32"/>
        </w:rPr>
        <w:t>配合检务保障部绩效考评工作的开展，相关部门均确定专人负责该项工作，领导的重视、明确的职责</w:t>
      </w:r>
      <w:r>
        <w:rPr>
          <w:rFonts w:hint="eastAsia" w:ascii="仿宋" w:hAnsi="仿宋" w:eastAsia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/>
          <w:sz w:val="32"/>
          <w:szCs w:val="32"/>
        </w:rPr>
        <w:t>有力的推动绩效管理项目自评工作的顺利完成。</w:t>
      </w:r>
    </w:p>
    <w:p>
      <w:pPr>
        <w:ind w:firstLine="320" w:firstLineChars="1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2、评价工作过程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本次绩效评价工作过程包括前期准备和组织实施两个阶段。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（1）前期准备</w:t>
      </w: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组织召开专题办公会议，明确了由办公室牵头、相关业务科室具体负责绩效评价，并及时按照绩效评价相关要求，指定绩效管理办法和绩效评价工作方案等。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（2）组织实施</w:t>
      </w:r>
    </w:p>
    <w:p>
      <w:pPr>
        <w:ind w:firstLine="640" w:firstLineChars="200"/>
        <w:rPr>
          <w:rFonts w:hint="eastAsia" w:ascii="仿宋" w:hAnsi="仿宋" w:eastAsia="仿宋" w:cs="楷体_GB2312"/>
          <w:b/>
          <w:bCs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相关业务科室对各科室涉及的项目进行自评，</w:t>
      </w:r>
      <w:r>
        <w:rPr>
          <w:rFonts w:hint="eastAsia" w:ascii="仿宋_GB2312" w:eastAsia="仿宋_GB2312"/>
          <w:sz w:val="32"/>
          <w:szCs w:val="32"/>
          <w:lang w:eastAsia="zh-CN"/>
        </w:rPr>
        <w:t>办公室</w:t>
      </w:r>
      <w:r>
        <w:rPr>
          <w:rFonts w:hint="eastAsia" w:ascii="仿宋_GB2312" w:eastAsia="仿宋_GB2312"/>
          <w:sz w:val="32"/>
          <w:szCs w:val="32"/>
        </w:rPr>
        <w:t>结合业务科室提交的自评情况，采集相关数据、查阅财务资料、核查资金适用情况和相关资料，在整个评价工作过程中相关业务科室进行反复沟通，根据业务科室提交的自评质量进行汇总分析，形成评价结论。</w:t>
      </w:r>
    </w:p>
    <w:p>
      <w:pPr>
        <w:spacing w:line="560" w:lineRule="exact"/>
        <w:rPr>
          <w:rFonts w:ascii="黑体" w:hAnsi="黑体" w:eastAsia="黑体"/>
          <w:b/>
          <w:bCs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 xml:space="preserve">    三、部门整体支出绩效目标实现情况及指标分析</w:t>
      </w:r>
    </w:p>
    <w:p>
      <w:pPr>
        <w:numPr>
          <w:ilvl w:val="0"/>
          <w:numId w:val="3"/>
        </w:numPr>
        <w:spacing w:line="560" w:lineRule="exact"/>
        <w:ind w:firstLine="640" w:firstLineChars="200"/>
        <w:rPr>
          <w:rFonts w:ascii="楷体" w:hAnsi="楷体" w:eastAsia="楷体" w:cs="楷体_GB2312"/>
          <w:bCs/>
          <w:sz w:val="32"/>
          <w:szCs w:val="32"/>
        </w:rPr>
      </w:pPr>
      <w:r>
        <w:rPr>
          <w:rFonts w:hint="eastAsia" w:ascii="楷体" w:hAnsi="楷体" w:eastAsia="楷体" w:cs="楷体_GB2312"/>
          <w:bCs/>
          <w:sz w:val="32"/>
          <w:szCs w:val="32"/>
        </w:rPr>
        <w:t>总体绩效目标实现情况</w:t>
      </w:r>
    </w:p>
    <w:p>
      <w:pPr>
        <w:spacing w:line="560" w:lineRule="exact"/>
        <w:ind w:firstLine="640" w:firstLineChars="200"/>
        <w:rPr>
          <w:rFonts w:ascii="楷体" w:hAnsi="楷体" w:eastAsia="楷体"/>
          <w:bCs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我院</w:t>
      </w:r>
      <w:r>
        <w:rPr>
          <w:rFonts w:hint="eastAsia" w:ascii="仿宋" w:hAnsi="仿宋" w:eastAsia="仿宋"/>
          <w:sz w:val="32"/>
          <w:szCs w:val="32"/>
        </w:rPr>
        <w:t>认真履行法律监督职能，努力为维护辖区安全稳定和构建和谐长安服务。深刻理解和准确把握构建社会主义和谐社会的内涵和基本特征，按照构建和谐社会的要求，不断加强和改进检察工作。贯彻宽严相济的刑事司法政策，最大限度地增加和谐因素。自觉接受党的领导，接受人大、政协和社会各界的监督。自觉地把贯彻落实党的方针政策与严格执法有机结合起来，坚持重大事项、重大案件的报告制度。认真贯彻落实监督法，进一步健全检察机关接受人大及其常委会监督的工作机制，严格执行向人大常委会进行专项工作报告、接受人大常委会执法检查等制度。自觉接受政协民主监督、人民群众监督和新闻舆论监督。</w:t>
      </w:r>
      <w:r>
        <w:rPr>
          <w:rFonts w:hint="eastAsia" w:ascii="仿宋" w:hAnsi="仿宋" w:eastAsia="仿宋" w:cs="楷体_GB2312"/>
          <w:b/>
          <w:bCs/>
          <w:sz w:val="32"/>
          <w:szCs w:val="32"/>
        </w:rPr>
        <w:t xml:space="preserve">    </w:t>
      </w:r>
      <w:r>
        <w:rPr>
          <w:rFonts w:hint="eastAsia" w:ascii="楷体" w:hAnsi="楷体" w:eastAsia="楷体" w:cs="楷体_GB2312"/>
          <w:bCs/>
          <w:sz w:val="32"/>
          <w:szCs w:val="32"/>
        </w:rPr>
        <w:t>（二）分项绩效目标实现情况及指标分析</w:t>
      </w:r>
    </w:p>
    <w:p>
      <w:pPr>
        <w:pStyle w:val="6"/>
        <w:rPr>
          <w:rFonts w:hint="eastAsia"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1、紧紧围绕全区中心工作，依法充分履行检察职能，努力实现检察工作与经济社会高质量发展“同频共振”</w:t>
      </w:r>
    </w:p>
    <w:p>
      <w:pPr>
        <w:pStyle w:val="6"/>
        <w:rPr>
          <w:rFonts w:hint="eastAsia"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绩效目标：坚持总体国家安全观，进一步强化刑事立案、侦查活动、审判活动和刑事执行监督，精准开展民事检察工作，全面深化行政检察工作，积极稳妥推进公益诉讼检察，始终将扫黑</w:t>
      </w:r>
      <w:bookmarkStart w:id="0" w:name="_GoBack"/>
      <w:bookmarkEnd w:id="0"/>
      <w:r>
        <w:rPr>
          <w:rFonts w:hint="eastAsia" w:ascii="仿宋" w:hAnsi="仿宋" w:eastAsia="仿宋" w:cs="Times New Roman"/>
          <w:sz w:val="32"/>
          <w:szCs w:val="32"/>
        </w:rPr>
        <w:t>除恶专项斗争作为重大政治任务，依法从严从快办理涉黑涉恶犯罪。</w:t>
      </w:r>
    </w:p>
    <w:p>
      <w:pPr>
        <w:pStyle w:val="6"/>
        <w:rPr>
          <w:rFonts w:hint="eastAsia"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绩效指标：努力提升办案质效和检察公信力，深化检务公开，年度内查办案件及实施检察监督案件的数量超过500件，审结的案件占受理案件的比例达到90%以上，通过办理案件，稳定社会环境，收到良好的社会效果，通过项目</w:t>
      </w:r>
      <w:r>
        <w:rPr>
          <w:rFonts w:hint="eastAsia" w:ascii="仿宋" w:hAnsi="仿宋" w:eastAsia="仿宋" w:cs="Times New Roman"/>
          <w:sz w:val="32"/>
          <w:szCs w:val="32"/>
          <w:lang w:eastAsia="zh-CN"/>
        </w:rPr>
        <w:t>实施</w:t>
      </w:r>
      <w:r>
        <w:rPr>
          <w:rFonts w:hint="eastAsia" w:ascii="仿宋" w:hAnsi="仿宋" w:eastAsia="仿宋" w:cs="Times New Roman"/>
          <w:sz w:val="32"/>
          <w:szCs w:val="32"/>
        </w:rPr>
        <w:t>促进社会稳定水平明显提高。</w:t>
      </w:r>
    </w:p>
    <w:p>
      <w:pPr>
        <w:pStyle w:val="6"/>
        <w:rPr>
          <w:rFonts w:hint="eastAsia"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 xml:space="preserve">2、加强检察队伍正规化职业化专业化建设 </w:t>
      </w:r>
    </w:p>
    <w:p>
      <w:pPr>
        <w:pStyle w:val="6"/>
        <w:rPr>
          <w:rFonts w:hint="eastAsia"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 xml:space="preserve">绩效目标：提高检察机关执法办案的良好形象，按时配发检察服、法警服装。高标准完成检察机关日常办文办公办会保障。加强干警的党性修养和政治理论素养，提高干警综合素质，加强基层党组织和党员队伍建设，保障各类学习教育活动，不断提高全市检察干警的政治素质、业务素质、职业道德素质。 </w:t>
      </w:r>
    </w:p>
    <w:p>
      <w:pPr>
        <w:pStyle w:val="6"/>
        <w:rPr>
          <w:rFonts w:hint="eastAsia"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绩效指标：购置服装合格率达到</w:t>
      </w:r>
      <w:r>
        <w:rPr>
          <w:rFonts w:hint="default" w:ascii="仿宋" w:hAnsi="仿宋" w:eastAsia="仿宋" w:cs="Times New Roman"/>
          <w:sz w:val="32"/>
          <w:szCs w:val="32"/>
          <w:lang w:val="en-US"/>
        </w:rPr>
        <w:t>100</w:t>
      </w:r>
      <w:r>
        <w:rPr>
          <w:rFonts w:hint="eastAsia" w:ascii="仿宋" w:hAnsi="仿宋" w:eastAsia="仿宋" w:cs="Times New Roman"/>
          <w:sz w:val="32"/>
          <w:szCs w:val="32"/>
        </w:rPr>
        <w:t>%，配发服装与实际需求量的比率达到</w:t>
      </w:r>
      <w:r>
        <w:rPr>
          <w:rFonts w:hint="default" w:ascii="仿宋" w:hAnsi="仿宋" w:eastAsia="仿宋" w:cs="Times New Roman"/>
          <w:sz w:val="32"/>
          <w:szCs w:val="32"/>
          <w:lang w:val="en-US"/>
        </w:rPr>
        <w:t>100</w:t>
      </w:r>
      <w:r>
        <w:rPr>
          <w:rFonts w:hint="eastAsia" w:ascii="仿宋" w:hAnsi="仿宋" w:eastAsia="仿宋" w:cs="Times New Roman"/>
          <w:sz w:val="32"/>
          <w:szCs w:val="32"/>
        </w:rPr>
        <w:t>%，显著提升了公众对检察机关认可度。购置设备质量合格的数量占购置的总数的比例不小于98%，办公设备购置能够对办公环境改善的提升情况达到98%，对于缺少的办公家具及时补充。</w:t>
      </w:r>
    </w:p>
    <w:p>
      <w:pPr>
        <w:pStyle w:val="6"/>
        <w:rPr>
          <w:rFonts w:hint="eastAsia"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 xml:space="preserve">3、着力推进现代新型人民检察院建设 </w:t>
      </w:r>
    </w:p>
    <w:p>
      <w:pPr>
        <w:pStyle w:val="6"/>
        <w:rPr>
          <w:rFonts w:hint="eastAsia"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绩效目标：保证办公楼及青少年普法教育基地的各项设施设备正常运转，及时解决各种故障，避免安全隐患。保障车辆停放安全有序。保障长期聘用人员和长期临时人员工资及时发放到位，提高人员工作积极性。加强机关安保工作，确保机关院落安全及办案场所人员财产安全，保证办公办案安全。</w:t>
      </w:r>
    </w:p>
    <w:p>
      <w:pPr>
        <w:pStyle w:val="6"/>
        <w:rPr>
          <w:rFonts w:hint="eastAsia"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绩效指标：设施设备故障报修后处理完成时间小于2小时，实际完成处理故障数与故障报修总数比率不小于99%，当年排查安全隐患保证办公秩序的数量不小于30次，当年用水、用电、消防等安全检查合格的占比不小于99%。实际政府采购数量占应实施政府采购总数的比例达到100%，各项费用足额缴纳98%左右。同期节约水、电的数量不小于10%。绿化设施、设备、资源完好率达到95%。按时落实聘用人员和临时人员工资发放情况比率为100%，足额保障资金的拨付率大于98%。</w:t>
      </w:r>
    </w:p>
    <w:p>
      <w:pPr>
        <w:pStyle w:val="6"/>
        <w:rPr>
          <w:rFonts w:hint="eastAsia"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4、适应信息化发展新趋势 ，保证办公办案安全</w:t>
      </w:r>
    </w:p>
    <w:p>
      <w:pPr>
        <w:pStyle w:val="6"/>
        <w:rPr>
          <w:rFonts w:hint="eastAsia"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 xml:space="preserve">绩效目标：完成6A档案升级改造建设，加强档案室硬软件巡检维护，保证档案保管设备的运行，保证查档准确、完整。完成数字化档案备份设备，保证档案数字化安全，进一步提高档案保管可靠性。 </w:t>
      </w:r>
    </w:p>
    <w:p>
      <w:pPr>
        <w:pStyle w:val="6"/>
        <w:rPr>
          <w:rFonts w:hint="eastAsia"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 xml:space="preserve">系统运转情况良好，全年档案系统运行故障次数不超过2次，当年维护软件的次数大于 20次，档案资料保存完好程度达到99%，查档人员使用设备满意度达到95%以上。数字化档案备份设备质量合格的数量占总数的98%，档案数据完好量占有率不小于99%，项目实施后档案检索平均时间节省20%左右，纸质档案扫描完成数字化的比率达到95%，档案保管人员的满意度达到98%。 </w:t>
      </w:r>
    </w:p>
    <w:p>
      <w:pPr>
        <w:spacing w:line="560" w:lineRule="exact"/>
        <w:ind w:firstLine="800" w:firstLineChars="250"/>
        <w:rPr>
          <w:rFonts w:hint="eastAsia" w:ascii="仿宋" w:hAnsi="仿宋" w:eastAsia="仿宋"/>
          <w:sz w:val="32"/>
          <w:szCs w:val="32"/>
          <w:highlight w:val="none"/>
        </w:rPr>
      </w:pPr>
      <w:r>
        <w:rPr>
          <w:rFonts w:hint="eastAsia" w:ascii="仿宋" w:hAnsi="仿宋" w:eastAsia="仿宋"/>
          <w:sz w:val="32"/>
          <w:szCs w:val="32"/>
        </w:rPr>
        <w:t>参与本次评价的项目共计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</w:t>
      </w:r>
      <w:r>
        <w:rPr>
          <w:rFonts w:hint="default" w:ascii="仿宋" w:hAnsi="仿宋" w:eastAsia="仿宋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/>
          <w:sz w:val="32"/>
          <w:szCs w:val="32"/>
        </w:rPr>
        <w:t>个，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</w:t>
      </w:r>
      <w:r>
        <w:rPr>
          <w:rFonts w:hint="default" w:ascii="仿宋" w:hAnsi="仿宋" w:eastAsia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/>
          <w:sz w:val="32"/>
          <w:szCs w:val="32"/>
        </w:rPr>
        <w:t>个项目评价等级均为</w:t>
      </w:r>
      <w:r>
        <w:rPr>
          <w:rFonts w:hint="eastAsia" w:ascii="仿宋" w:hAnsi="仿宋" w:eastAsia="仿宋"/>
          <w:sz w:val="32"/>
          <w:szCs w:val="32"/>
          <w:highlight w:val="none"/>
        </w:rPr>
        <w:t>“优”</w:t>
      </w:r>
      <w:r>
        <w:rPr>
          <w:rFonts w:hint="default" w:ascii="仿宋" w:hAnsi="仿宋" w:eastAsia="仿宋"/>
          <w:sz w:val="32"/>
          <w:szCs w:val="32"/>
          <w:highlight w:val="none"/>
          <w:lang w:val="en-US"/>
        </w:rPr>
        <w:t>,2</w:t>
      </w:r>
      <w:r>
        <w:rPr>
          <w:rFonts w:hint="eastAsia" w:ascii="仿宋" w:hAnsi="仿宋" w:eastAsia="仿宋"/>
          <w:sz w:val="32"/>
          <w:szCs w:val="32"/>
          <w:highlight w:val="none"/>
          <w:lang w:val="en-US" w:eastAsia="zh-CN"/>
        </w:rPr>
        <w:t>个项目评价等价为“一般”</w:t>
      </w:r>
      <w:r>
        <w:rPr>
          <w:rFonts w:hint="eastAsia" w:ascii="仿宋" w:hAnsi="仿宋" w:eastAsia="仿宋"/>
          <w:sz w:val="32"/>
          <w:szCs w:val="32"/>
          <w:highlight w:val="none"/>
        </w:rPr>
        <w:t>。</w:t>
      </w:r>
    </w:p>
    <w:p>
      <w:pPr>
        <w:spacing w:line="56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四、评价结论和评价等级</w:t>
      </w:r>
    </w:p>
    <w:p>
      <w:pPr>
        <w:spacing w:line="56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根据部门职责定位和各项工作履职情况进行综合评价，给出总得分，满分100分，得出综合绩效评价等级。部门整体支出综合绩效评价分为4个等级：得分</w:t>
      </w:r>
      <w:r>
        <w:rPr>
          <w:rFonts w:ascii="仿宋" w:hAnsi="仿宋" w:eastAsia="仿宋" w:cs="Arial"/>
          <w:sz w:val="32"/>
          <w:szCs w:val="32"/>
        </w:rPr>
        <w:t>≥</w:t>
      </w:r>
      <w:r>
        <w:rPr>
          <w:rFonts w:hint="eastAsia" w:ascii="仿宋" w:hAnsi="仿宋" w:eastAsia="仿宋"/>
          <w:sz w:val="32"/>
          <w:szCs w:val="32"/>
        </w:rPr>
        <w:t>85分为优秀；75</w:t>
      </w:r>
      <w:r>
        <w:rPr>
          <w:rFonts w:ascii="仿宋" w:hAnsi="仿宋" w:eastAsia="仿宋" w:cs="Arial"/>
          <w:sz w:val="32"/>
          <w:szCs w:val="32"/>
        </w:rPr>
        <w:t>≤</w:t>
      </w:r>
      <w:r>
        <w:rPr>
          <w:rFonts w:hint="eastAsia" w:ascii="仿宋" w:hAnsi="仿宋" w:eastAsia="仿宋"/>
          <w:sz w:val="32"/>
          <w:szCs w:val="32"/>
        </w:rPr>
        <w:t>得分＜85分为良好；60</w:t>
      </w:r>
      <w:r>
        <w:rPr>
          <w:rFonts w:ascii="仿宋" w:hAnsi="仿宋" w:eastAsia="仿宋" w:cs="Arial"/>
          <w:sz w:val="32"/>
          <w:szCs w:val="32"/>
        </w:rPr>
        <w:t>≤</w:t>
      </w:r>
      <w:r>
        <w:rPr>
          <w:rFonts w:hint="eastAsia" w:ascii="仿宋" w:hAnsi="仿宋" w:eastAsia="仿宋"/>
          <w:sz w:val="32"/>
          <w:szCs w:val="32"/>
        </w:rPr>
        <w:t>得分＜75分为一般；得分＜60分为较差。</w:t>
      </w:r>
    </w:p>
    <w:p>
      <w:pPr>
        <w:spacing w:line="560" w:lineRule="exact"/>
        <w:ind w:firstLine="640" w:firstLineChars="200"/>
        <w:rPr>
          <w:rFonts w:ascii="仿宋" w:hAnsi="仿宋" w:eastAsia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/>
          <w:sz w:val="32"/>
          <w:szCs w:val="32"/>
        </w:rPr>
        <w:t>根据部门职责定位和各项工作履职情况进行综合评价，</w:t>
      </w:r>
      <w:r>
        <w:rPr>
          <w:rFonts w:hint="eastAsia" w:ascii="仿宋" w:hAnsi="仿宋" w:eastAsia="仿宋"/>
          <w:sz w:val="32"/>
          <w:szCs w:val="32"/>
          <w:lang w:eastAsia="zh-CN"/>
        </w:rPr>
        <w:t>认真履行职责，</w:t>
      </w:r>
      <w:r>
        <w:rPr>
          <w:rFonts w:hint="eastAsia" w:ascii="仿宋" w:hAnsi="仿宋" w:eastAsia="仿宋" w:cs="Times New Roman"/>
          <w:sz w:val="32"/>
          <w:szCs w:val="32"/>
        </w:rPr>
        <w:t>努力提升办案质效和检察公信力</w:t>
      </w:r>
      <w:r>
        <w:rPr>
          <w:rFonts w:hint="eastAsia" w:ascii="仿宋" w:hAnsi="仿宋" w:eastAsia="仿宋" w:cs="Times New Roman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Times New Roman"/>
          <w:sz w:val="32"/>
          <w:szCs w:val="32"/>
        </w:rPr>
        <w:t>稳定社会环境</w:t>
      </w:r>
      <w:r>
        <w:rPr>
          <w:rFonts w:hint="eastAsia" w:ascii="仿宋" w:hAnsi="仿宋" w:eastAsia="仿宋" w:cs="Times New Roman"/>
          <w:sz w:val="32"/>
          <w:szCs w:val="32"/>
          <w:lang w:eastAsia="zh-CN"/>
        </w:rPr>
        <w:t>，</w:t>
      </w:r>
      <w:r>
        <w:rPr>
          <w:rFonts w:hint="eastAsia" w:ascii="仿宋" w:hAnsi="仿宋" w:eastAsia="仿宋"/>
          <w:sz w:val="32"/>
          <w:szCs w:val="32"/>
          <w:lang w:eastAsia="zh-CN"/>
        </w:rPr>
        <w:t>较好地完成了年初确定的各项工作任务。</w:t>
      </w:r>
      <w:r>
        <w:rPr>
          <w:rFonts w:hint="eastAsia" w:ascii="仿宋" w:hAnsi="仿宋" w:eastAsia="仿宋"/>
          <w:sz w:val="32"/>
          <w:szCs w:val="32"/>
        </w:rPr>
        <w:t>部门整体支出综合绩效评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t>价分为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lang w:val="en-US" w:eastAsia="zh-CN"/>
        </w:rPr>
        <w:t>95分，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t>等级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lang w:eastAsia="zh-CN"/>
        </w:rPr>
        <w:t>为优秀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t>。</w:t>
      </w:r>
    </w:p>
    <w:p>
      <w:pPr>
        <w:spacing w:line="56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五、存在的问题及改进措施</w:t>
      </w: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360" w:lineRule="auto"/>
        <w:ind w:left="0" w:right="0" w:firstLine="640" w:firstLineChars="200"/>
        <w:jc w:val="both"/>
        <w:rPr>
          <w:rFonts w:hint="eastAsia" w:ascii="楷体" w:hAnsi="楷体" w:eastAsia="楷体"/>
          <w:bCs/>
          <w:sz w:val="32"/>
          <w:szCs w:val="32"/>
        </w:rPr>
      </w:pPr>
      <w:r>
        <w:rPr>
          <w:rFonts w:hint="eastAsia" w:ascii="楷体" w:hAnsi="楷体" w:eastAsia="楷体"/>
          <w:bCs/>
          <w:sz w:val="32"/>
          <w:szCs w:val="32"/>
        </w:rPr>
        <w:t>（一）存在的主要问题</w:t>
      </w: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360" w:lineRule="auto"/>
        <w:ind w:left="0" w:right="0" w:firstLine="643" w:firstLineChars="200"/>
        <w:jc w:val="both"/>
        <w:rPr>
          <w:rFonts w:hint="eastAsia" w:ascii="仿宋" w:hAnsi="仿宋" w:eastAsia="仿宋" w:cs="仿宋"/>
          <w:b/>
          <w:kern w:val="2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b/>
          <w:kern w:val="2"/>
          <w:sz w:val="32"/>
          <w:szCs w:val="32"/>
          <w:lang w:val="en-US" w:eastAsia="zh-CN" w:bidi="ar"/>
        </w:rPr>
        <w:t>1.部分项目绩效管理指标不规范。</w:t>
      </w: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360" w:lineRule="auto"/>
        <w:ind w:left="0" w:right="0" w:firstLine="640" w:firstLineChars="200"/>
        <w:jc w:val="both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一是绩效管理意识还不够强，绩效管理体系建设不够完备。二是绩效评价结果与预算安排的挂钩机制不完善。</w:t>
      </w: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360" w:lineRule="auto"/>
        <w:ind w:left="0" w:right="0" w:firstLine="643" w:firstLineChars="200"/>
        <w:jc w:val="both"/>
        <w:rPr>
          <w:rFonts w:hint="eastAsia" w:ascii="仿宋" w:hAnsi="仿宋" w:eastAsia="仿宋" w:cs="仿宋"/>
          <w:b/>
          <w:sz w:val="32"/>
          <w:szCs w:val="32"/>
          <w:lang w:val="en-US"/>
        </w:rPr>
      </w:pPr>
      <w:r>
        <w:rPr>
          <w:rFonts w:hint="eastAsia" w:ascii="仿宋" w:hAnsi="仿宋" w:eastAsia="仿宋" w:cs="仿宋"/>
          <w:b/>
          <w:kern w:val="2"/>
          <w:sz w:val="32"/>
          <w:szCs w:val="32"/>
          <w:lang w:val="en-US" w:eastAsia="zh-CN" w:bidi="ar"/>
        </w:rPr>
        <w:t>2.项目执行进度慢，影响资金使用效益。</w:t>
      </w:r>
    </w:p>
    <w:p>
      <w:pPr>
        <w:widowControl w:val="0"/>
        <w:wordWrap/>
        <w:spacing w:line="560" w:lineRule="exact"/>
        <w:ind w:left="0" w:leftChars="0" w:right="0" w:firstLine="640" w:firstLineChars="200"/>
        <w:textAlignment w:val="auto"/>
        <w:outlineLvl w:val="9"/>
        <w:rPr>
          <w:rFonts w:ascii="楷体" w:hAnsi="楷体" w:eastAsia="楷体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>部分项目执行进度慢，在前期工作中，未能及时考虑到一些突发因素以及影响支出进度的事项，导致项目不能完全实施或者是实施不到位。</w:t>
      </w:r>
    </w:p>
    <w:p>
      <w:pPr>
        <w:numPr>
          <w:ilvl w:val="0"/>
          <w:numId w:val="3"/>
        </w:numPr>
        <w:spacing w:line="560" w:lineRule="exact"/>
        <w:ind w:left="0" w:leftChars="0" w:firstLine="640" w:firstLineChars="200"/>
        <w:rPr>
          <w:rFonts w:hint="eastAsia" w:ascii="楷体" w:hAnsi="楷体" w:eastAsia="楷体"/>
          <w:bCs/>
          <w:sz w:val="32"/>
          <w:szCs w:val="32"/>
        </w:rPr>
      </w:pPr>
      <w:r>
        <w:rPr>
          <w:rFonts w:hint="eastAsia" w:ascii="楷体" w:hAnsi="楷体" w:eastAsia="楷体"/>
          <w:bCs/>
          <w:sz w:val="32"/>
          <w:szCs w:val="32"/>
        </w:rPr>
        <w:t>针对问题提出具体的改进措施或建议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before="0" w:beforeLines="0" w:after="0" w:afterLines="0" w:line="540" w:lineRule="exact"/>
        <w:ind w:leftChars="20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一是建全项目管理制度，制定项目用款计划、预期绩效目标，充分发挥资金使用效益。</w:t>
      </w:r>
    </w:p>
    <w:p>
      <w:pPr>
        <w:numPr>
          <w:ilvl w:val="0"/>
          <w:numId w:val="0"/>
        </w:numPr>
        <w:spacing w:line="560" w:lineRule="exact"/>
        <w:ind w:leftChars="200"/>
        <w:rPr>
          <w:rFonts w:hint="eastAsia" w:ascii="楷体" w:hAnsi="楷体" w:eastAsia="楷体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二</w:t>
      </w:r>
      <w:r>
        <w:rPr>
          <w:rFonts w:hint="eastAsia" w:ascii="仿宋" w:hAnsi="仿宋" w:eastAsia="仿宋" w:cs="仿宋"/>
          <w:sz w:val="32"/>
          <w:szCs w:val="32"/>
        </w:rPr>
        <w:t>是加强对相关绩效管理文件精神的学习，要求业务科室负责人和财务人员一起认真学习，深刻领会文件要求。</w:t>
      </w:r>
    </w:p>
    <w:p>
      <w:pPr>
        <w:numPr>
          <w:ilvl w:val="0"/>
          <w:numId w:val="0"/>
        </w:numPr>
        <w:spacing w:line="560" w:lineRule="exact"/>
        <w:ind w:leftChars="200"/>
        <w:rPr>
          <w:rFonts w:hint="eastAsia" w:ascii="楷体" w:hAnsi="楷体" w:eastAsia="楷体"/>
          <w:bCs/>
          <w:sz w:val="32"/>
          <w:szCs w:val="32"/>
        </w:rPr>
      </w:pPr>
    </w:p>
    <w:p>
      <w:pPr>
        <w:adjustRightInd w:val="0"/>
        <w:snapToGrid w:val="0"/>
        <w:spacing w:line="560" w:lineRule="exact"/>
        <w:ind w:firstLine="640" w:firstLineChars="200"/>
        <w:rPr>
          <w:rFonts w:ascii="黑体" w:hAnsi="黑体" w:eastAsia="黑体"/>
          <w:sz w:val="32"/>
          <w:szCs w:val="32"/>
        </w:rPr>
      </w:pPr>
    </w:p>
    <w:p>
      <w:pPr>
        <w:spacing w:line="560" w:lineRule="exact"/>
        <w:rPr>
          <w:rFonts w:ascii="仿宋" w:hAnsi="仿宋" w:eastAsia="仿宋"/>
        </w:rPr>
      </w:pPr>
    </w:p>
    <w:sectPr>
      <w:footerReference r:id="rId3" w:type="default"/>
      <w:pgSz w:w="11906" w:h="16838"/>
      <w:pgMar w:top="1440" w:right="1474" w:bottom="1440" w:left="1587" w:header="851" w:footer="992" w:gutter="0"/>
      <w:pgNumType w:fmt="numberInDash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书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pict>
        <v:shape id="Quad Arrow 3073" o:spid="_x0000_s4097" o:spt="202" type="#_x0000_t202" style="position:absolute;left:0pt;margin-top:0pt;height:144pt;width:144pt;mso-position-horizontal:center;mso-position-horizontal-relative:margin;mso-wrap-style:none;z-index:251659264;mso-width-relative:page;mso-height-relative:page;" filled="f" o:preferrelative="t" stroked="f" coordsize="21600,21600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snapToGrid w:val="0"/>
                  <w:rPr>
                    <w:sz w:val="18"/>
                  </w:rPr>
                </w:pPr>
                <w:r>
                  <w:rPr>
                    <w:rFonts w:hint="eastAsia"/>
                    <w:sz w:val="18"/>
                  </w:rPr>
                  <w:fldChar w:fldCharType="begin"/>
                </w:r>
                <w:r>
                  <w:rPr>
                    <w:rFonts w:hint="eastAsia"/>
                    <w:sz w:val="18"/>
                  </w:rPr>
                  <w:instrText xml:space="preserve"> PAGE  \* MERGEFORMAT </w:instrText>
                </w:r>
                <w:r>
                  <w:rPr>
                    <w:rFonts w:hint="eastAsia"/>
                    <w:sz w:val="18"/>
                  </w:rPr>
                  <w:fldChar w:fldCharType="separate"/>
                </w:r>
                <w:r>
                  <w:t>- 1 -</w:t>
                </w:r>
                <w:r>
                  <w:rPr>
                    <w:rFonts w:hint="eastAsia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516AA81"/>
    <w:multiLevelType w:val="singleLevel"/>
    <w:tmpl w:val="0516AA81"/>
    <w:lvl w:ilvl="0" w:tentative="0">
      <w:start w:val="2"/>
      <w:numFmt w:val="chineseCounting"/>
      <w:suff w:val="nothing"/>
      <w:lvlText w:val="（%1）"/>
      <w:lvlJc w:val="left"/>
      <w:pPr>
        <w:ind w:left="642" w:firstLine="0"/>
      </w:pPr>
      <w:rPr>
        <w:rFonts w:hint="eastAsia"/>
      </w:rPr>
    </w:lvl>
  </w:abstractNum>
  <w:abstractNum w:abstractNumId="1">
    <w:nsid w:val="5AAEEBBC"/>
    <w:multiLevelType w:val="singleLevel"/>
    <w:tmpl w:val="5AAEEBBC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5E68489B"/>
    <w:multiLevelType w:val="singleLevel"/>
    <w:tmpl w:val="5E68489B"/>
    <w:lvl w:ilvl="0" w:tentative="0">
      <w:start w:val="1"/>
      <w:numFmt w:val="chineseCounting"/>
      <w:suff w:val="nothing"/>
      <w:lvlText w:val="（%1）"/>
      <w:lvlJc w:val="left"/>
      <w:rPr>
        <w:rFonts w:ascii="楷体" w:hAnsi="楷体" w:eastAsia="楷体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zgxMzVhZTBlNDUyZWUxNDVhMjNkN2E1NjFlOTE5NDcifQ=="/>
  </w:docVars>
  <w:rsids>
    <w:rsidRoot w:val="0EBD2122"/>
    <w:rsid w:val="000B0260"/>
    <w:rsid w:val="001F187B"/>
    <w:rsid w:val="007E6C1F"/>
    <w:rsid w:val="00956A93"/>
    <w:rsid w:val="009E575C"/>
    <w:rsid w:val="00AF167E"/>
    <w:rsid w:val="00AF566A"/>
    <w:rsid w:val="00B478EA"/>
    <w:rsid w:val="00B6553A"/>
    <w:rsid w:val="00BC6576"/>
    <w:rsid w:val="00CE06BA"/>
    <w:rsid w:val="00F441CC"/>
    <w:rsid w:val="01B104CA"/>
    <w:rsid w:val="02106AB0"/>
    <w:rsid w:val="02B43A28"/>
    <w:rsid w:val="046F331E"/>
    <w:rsid w:val="055F4E26"/>
    <w:rsid w:val="07795AF5"/>
    <w:rsid w:val="07956271"/>
    <w:rsid w:val="09721397"/>
    <w:rsid w:val="0BB63BED"/>
    <w:rsid w:val="0EB97A43"/>
    <w:rsid w:val="0EBD2122"/>
    <w:rsid w:val="0F214EAE"/>
    <w:rsid w:val="0FBD46F9"/>
    <w:rsid w:val="11B71E6A"/>
    <w:rsid w:val="1AAF0063"/>
    <w:rsid w:val="1BE140DE"/>
    <w:rsid w:val="1E542E40"/>
    <w:rsid w:val="24884EFB"/>
    <w:rsid w:val="248C197D"/>
    <w:rsid w:val="252959AF"/>
    <w:rsid w:val="27315884"/>
    <w:rsid w:val="277A6671"/>
    <w:rsid w:val="292D35B7"/>
    <w:rsid w:val="299C3C7B"/>
    <w:rsid w:val="33EB6CFF"/>
    <w:rsid w:val="35A12947"/>
    <w:rsid w:val="37387040"/>
    <w:rsid w:val="37DF2E28"/>
    <w:rsid w:val="3B625C0A"/>
    <w:rsid w:val="3CEE1963"/>
    <w:rsid w:val="436B78D3"/>
    <w:rsid w:val="4C9C27FE"/>
    <w:rsid w:val="512260B4"/>
    <w:rsid w:val="52BD6ACB"/>
    <w:rsid w:val="53C2615A"/>
    <w:rsid w:val="55537534"/>
    <w:rsid w:val="561A74F1"/>
    <w:rsid w:val="58B17416"/>
    <w:rsid w:val="597244E8"/>
    <w:rsid w:val="59C162A8"/>
    <w:rsid w:val="5D8C0D31"/>
    <w:rsid w:val="5EB71C30"/>
    <w:rsid w:val="61147D01"/>
    <w:rsid w:val="61A20038"/>
    <w:rsid w:val="642166C6"/>
    <w:rsid w:val="66AF0CE5"/>
    <w:rsid w:val="67CC2082"/>
    <w:rsid w:val="68AC2130"/>
    <w:rsid w:val="6AC537CF"/>
    <w:rsid w:val="6C876446"/>
    <w:rsid w:val="6CE57A15"/>
    <w:rsid w:val="6E5B14A6"/>
    <w:rsid w:val="711B255E"/>
    <w:rsid w:val="7BB51E06"/>
    <w:rsid w:val="7C387F7C"/>
    <w:rsid w:val="7FE8342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rFonts w:ascii="Times New Roman" w:hAnsi="Times New Roman"/>
      <w:sz w:val="18"/>
    </w:rPr>
  </w:style>
  <w:style w:type="paragraph" w:customStyle="1" w:styleId="6">
    <w:name w:val="插入文本样式-插入职责分类绩效目标文件"/>
    <w:basedOn w:val="1"/>
    <w:qFormat/>
    <w:uiPriority w:val="0"/>
    <w:pPr>
      <w:spacing w:before="0" w:after="0" w:line="500" w:lineRule="exact"/>
      <w:ind w:firstLine="560"/>
      <w:jc w:val="left"/>
      <w:outlineLvl w:val="9"/>
    </w:pPr>
    <w:rPr>
      <w:rFonts w:ascii="Times New Roman" w:hAnsi="Times New Roman" w:eastAsia="方正仿宋_GBK" w:cs="Times New Roman"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573</Words>
  <Characters>590</Characters>
  <Lines>4</Lines>
  <Paragraphs>1</Paragraphs>
  <TotalTime>63</TotalTime>
  <ScaleCrop>false</ScaleCrop>
  <LinksUpToDate>false</LinksUpToDate>
  <CharactersWithSpaces>612</CharactersWithSpaces>
  <Application>WPS Office_11.8.2.12094_F1E327BC-269C-435d-A152-05C5408002CA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2020-02-04T03:46:00Z</dcterms:created>
  <dc:creator>欣欣大人</dc:creator>
  <cp:lastModifiedBy>Administrator</cp:lastModifiedBy>
  <cp:lastPrinted>2025-03-28T03:08:48Z</cp:lastPrinted>
  <dcterms:modified xsi:type="dcterms:W3CDTF">2025-03-28T03:08:56Z</dcterms:modified>
  <dc:title>附件3：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2052-11.8.2.12094</vt:lpwstr>
  </property>
  <property fmtid="{D5CDD505-2E9C-101B-9397-08002B2CF9AE}" pid="3" name="ICV">
    <vt:lpwstr>96934721B1514D3FBAA28020338CE855_12</vt:lpwstr>
  </property>
  <property fmtid="{D5CDD505-2E9C-101B-9397-08002B2CF9AE}" pid="4" name="KSOTemplateDocerSaveRecord">
    <vt:lpwstr>eyJoZGlkIjoiMDRiNGJkYjBiMjRiNTM2Zjk5YWM2NmU3YTc2OThjMTYiLCJ1c2VySWQiOiIxMDI2NzA5MTgxIn0=</vt:lpwstr>
  </property>
</Properties>
</file>